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9CCDE" w14:textId="77777777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Continuity of Care: A Public Health Approach in Primary and Community Care by 2035</w:t>
      </w:r>
    </w:p>
    <w:p w14:paraId="37B51A6B" w14:textId="4A52E248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Wh</w:t>
      </w:r>
      <w:r w:rsidR="00936E10">
        <w:rPr>
          <w:rFonts w:ascii="Ubuntu" w:hAnsi="Ubuntu"/>
          <w:b/>
          <w:bCs/>
        </w:rPr>
        <w:t>at is</w:t>
      </w:r>
      <w:r w:rsidRPr="00C364A8">
        <w:rPr>
          <w:rFonts w:ascii="Ubuntu" w:hAnsi="Ubuntu"/>
          <w:b/>
          <w:bCs/>
        </w:rPr>
        <w:t xml:space="preserve"> Continuity of Care</w:t>
      </w:r>
      <w:r w:rsidR="00936E10">
        <w:rPr>
          <w:rFonts w:ascii="Ubuntu" w:hAnsi="Ubuntu"/>
          <w:b/>
          <w:bCs/>
        </w:rPr>
        <w:t xml:space="preserve"> and why does it m</w:t>
      </w:r>
      <w:r w:rsidRPr="00C364A8">
        <w:rPr>
          <w:rFonts w:ascii="Ubuntu" w:hAnsi="Ubuntu"/>
          <w:b/>
          <w:bCs/>
        </w:rPr>
        <w:t>atter</w:t>
      </w:r>
    </w:p>
    <w:p w14:paraId="0E781BA1" w14:textId="29A43D7A" w:rsidR="009A1550" w:rsidRPr="00141DDB" w:rsidRDefault="009A1550" w:rsidP="00DC6BEF">
      <w:pPr>
        <w:spacing w:before="120" w:after="120"/>
        <w:rPr>
          <w:rFonts w:ascii="Ubuntu Light" w:hAnsi="Ubuntu Light"/>
        </w:rPr>
      </w:pPr>
      <w:r w:rsidRPr="00141DDB">
        <w:rPr>
          <w:rFonts w:ascii="Ubuntu Light" w:hAnsi="Ubuntu Light"/>
        </w:rPr>
        <w:t>There are three main types of continuity</w:t>
      </w:r>
      <w:r w:rsidR="00DC6BEF" w:rsidRPr="00141DDB">
        <w:rPr>
          <w:rFonts w:ascii="Ubuntu Light" w:hAnsi="Ubuntu Light"/>
        </w:rPr>
        <w:t xml:space="preserve"> of care</w:t>
      </w:r>
      <w:r w:rsidRPr="00141DDB">
        <w:rPr>
          <w:rFonts w:ascii="Ubuntu Light" w:hAnsi="Ubuntu Light"/>
        </w:rPr>
        <w:t xml:space="preserve">: relational, managerial and informational. Relational continuity is </w:t>
      </w:r>
      <w:r w:rsidR="00DC6BEF" w:rsidRPr="00141DDB">
        <w:rPr>
          <w:rFonts w:ascii="Ubuntu Light" w:hAnsi="Ubuntu Light"/>
        </w:rPr>
        <w:t xml:space="preserve">when a person sees their usual or preferred healthcare professional repeatedly over time. Thereby building a </w:t>
      </w:r>
      <w:r w:rsidRPr="00141DDB">
        <w:rPr>
          <w:rFonts w:ascii="Ubuntu Light" w:hAnsi="Ubuntu Light"/>
        </w:rPr>
        <w:t>therapeutic relationship and accumulat</w:t>
      </w:r>
      <w:r w:rsidR="00DC6BEF" w:rsidRPr="00141DDB">
        <w:rPr>
          <w:rFonts w:ascii="Ubuntu Light" w:hAnsi="Ubuntu Light"/>
        </w:rPr>
        <w:t>ion of</w:t>
      </w:r>
      <w:r w:rsidRPr="00141DDB">
        <w:rPr>
          <w:rFonts w:ascii="Ubuntu Light" w:hAnsi="Ubuntu Light"/>
        </w:rPr>
        <w:t xml:space="preserve"> knowledge of </w:t>
      </w:r>
      <w:r w:rsidR="00AE4D72" w:rsidRPr="00141DDB">
        <w:rPr>
          <w:rFonts w:ascii="Ubuntu Light" w:hAnsi="Ubuntu Light"/>
        </w:rPr>
        <w:t xml:space="preserve">the </w:t>
      </w:r>
      <w:r w:rsidRPr="00141DDB">
        <w:rPr>
          <w:rFonts w:ascii="Ubuntu Light" w:hAnsi="Ubuntu Light"/>
        </w:rPr>
        <w:t>p</w:t>
      </w:r>
      <w:r w:rsidR="00AE4D72" w:rsidRPr="00141DDB">
        <w:rPr>
          <w:rFonts w:ascii="Ubuntu Light" w:hAnsi="Ubuntu Light"/>
        </w:rPr>
        <w:t>erson</w:t>
      </w:r>
      <w:r w:rsidRPr="00141DDB">
        <w:rPr>
          <w:rFonts w:ascii="Ubuntu Light" w:hAnsi="Ubuntu Light"/>
        </w:rPr>
        <w:t xml:space="preserve"> and their care that is consistent with the</w:t>
      </w:r>
      <w:r w:rsidR="00AE4D72" w:rsidRPr="00141DDB">
        <w:rPr>
          <w:rFonts w:ascii="Ubuntu Light" w:hAnsi="Ubuntu Light"/>
        </w:rPr>
        <w:t>ir</w:t>
      </w:r>
      <w:r w:rsidRPr="00141DDB">
        <w:rPr>
          <w:rFonts w:ascii="Ubuntu Light" w:hAnsi="Ubuntu Light"/>
        </w:rPr>
        <w:t xml:space="preserve"> needs</w:t>
      </w:r>
      <w:r w:rsidR="007426C6" w:rsidRPr="00141DDB">
        <w:rPr>
          <w:rStyle w:val="FootnoteReference"/>
          <w:rFonts w:ascii="Ubuntu Light" w:hAnsi="Ubuntu Light"/>
        </w:rPr>
        <w:footnoteReference w:id="1"/>
      </w:r>
      <w:r w:rsidRPr="00141DDB">
        <w:rPr>
          <w:rFonts w:ascii="Ubuntu Light" w:hAnsi="Ubuntu Light"/>
        </w:rPr>
        <w:t>.</w:t>
      </w:r>
    </w:p>
    <w:p w14:paraId="39C3566F" w14:textId="7C4BB22A" w:rsidR="00BC79CC" w:rsidRPr="00141DDB" w:rsidRDefault="00BC79CC" w:rsidP="00DC6BEF">
      <w:pPr>
        <w:spacing w:before="120" w:after="120"/>
        <w:rPr>
          <w:rFonts w:ascii="Ubuntu Light" w:hAnsi="Ubuntu Light"/>
        </w:rPr>
      </w:pPr>
      <w:r w:rsidRPr="00141DDB">
        <w:rPr>
          <w:rFonts w:ascii="Ubuntu Light" w:hAnsi="Ubuntu Light"/>
        </w:rPr>
        <w:t>Continuity of care, particularly relational continuity, is a cornerstone of high-quality, person-centred primary and community care. It is strongly associated with:</w:t>
      </w:r>
    </w:p>
    <w:p w14:paraId="15D7B8D1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Improved patient satisfaction and trust</w:t>
      </w:r>
    </w:p>
    <w:p w14:paraId="0FD9F143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Lower mortality rates</w:t>
      </w:r>
    </w:p>
    <w:p w14:paraId="370947D2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Better preventive care uptake</w:t>
      </w:r>
    </w:p>
    <w:p w14:paraId="7A150AC4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Reduced emergency attendances and hospital admissions</w:t>
      </w:r>
    </w:p>
    <w:p w14:paraId="144B0C59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Lower healthcare system costs</w:t>
      </w:r>
    </w:p>
    <w:p w14:paraId="1E2571A6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Increased GP job satisfaction and retention</w:t>
      </w:r>
    </w:p>
    <w:p w14:paraId="1D85B371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Reduced health inequalities, particularly in socioeconomically deprived communities</w:t>
      </w:r>
    </w:p>
    <w:p w14:paraId="4B2870AE" w14:textId="3892D8A1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A Public Health Approach to Continuity</w:t>
      </w:r>
      <w:r w:rsidR="00936E10">
        <w:rPr>
          <w:rFonts w:ascii="Ubuntu" w:hAnsi="Ubuntu"/>
          <w:b/>
          <w:bCs/>
        </w:rPr>
        <w:t xml:space="preserve"> of Care</w:t>
      </w:r>
    </w:p>
    <w:p w14:paraId="6977A1FE" w14:textId="77777777" w:rsidR="00BC79CC" w:rsidRPr="00141DDB" w:rsidRDefault="00BC79CC" w:rsidP="00DC6BEF">
      <w:pPr>
        <w:spacing w:before="120" w:after="120" w:line="276" w:lineRule="auto"/>
        <w:rPr>
          <w:rFonts w:ascii="Ubuntu Light" w:hAnsi="Ubuntu Light"/>
        </w:rPr>
      </w:pPr>
      <w:r w:rsidRPr="00141DDB">
        <w:rPr>
          <w:rFonts w:ascii="Ubuntu Light" w:hAnsi="Ubuntu Light"/>
        </w:rPr>
        <w:t>A public health approach reframes continuity of care as an equity and sustainability issue, not just an operational concern. It prioritises proportionate continuity: enabling consistent relationships and coordinated care particularly for people with the greatest health needs (e.g. older adults, people with multiple long-term conditions, those in deprived communities).</w:t>
      </w:r>
    </w:p>
    <w:p w14:paraId="2D8E84DC" w14:textId="77777777" w:rsidR="00BC79CC" w:rsidRPr="00141DDB" w:rsidRDefault="00BC79CC" w:rsidP="00DC6BEF">
      <w:pPr>
        <w:spacing w:before="120" w:after="120" w:line="276" w:lineRule="auto"/>
        <w:rPr>
          <w:rFonts w:ascii="Ubuntu Light" w:hAnsi="Ubuntu Light"/>
        </w:rPr>
      </w:pPr>
      <w:r w:rsidRPr="00141DDB">
        <w:rPr>
          <w:rFonts w:ascii="Ubuntu Light" w:hAnsi="Ubuntu Light"/>
        </w:rPr>
        <w:t>This approach focuses on both relational continuity (ongoing contact with the same person) and building continuity into multidisciplinary team (MDT) models. It recognises continuity as a means to strengthen trust, reduce unmet need, and shift care upstream.</w:t>
      </w:r>
    </w:p>
    <w:p w14:paraId="14EE3485" w14:textId="77777777" w:rsidR="00C364A8" w:rsidRPr="00C364A8" w:rsidRDefault="00C364A8" w:rsidP="00DC6BEF">
      <w:pPr>
        <w:spacing w:before="120" w:after="120" w:line="276" w:lineRule="auto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What Success Looks Like</w:t>
      </w:r>
    </w:p>
    <w:p w14:paraId="6770163B" w14:textId="77777777" w:rsidR="00C364A8" w:rsidRPr="00141DDB" w:rsidRDefault="00C364A8" w:rsidP="00DC6BEF">
      <w:pPr>
        <w:spacing w:before="120" w:after="120" w:line="276" w:lineRule="auto"/>
        <w:rPr>
          <w:rFonts w:ascii="Ubuntu Light" w:hAnsi="Ubuntu Light"/>
        </w:rPr>
      </w:pPr>
      <w:r w:rsidRPr="00141DDB">
        <w:rPr>
          <w:rFonts w:ascii="Ubuntu Light" w:hAnsi="Ubuntu Light"/>
        </w:rPr>
        <w:t>By 2035, a public health approach would deliver a system where:</w:t>
      </w:r>
    </w:p>
    <w:p w14:paraId="10AB067C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Relational continuity is prioritised for those who benefit most.</w:t>
      </w:r>
    </w:p>
    <w:p w14:paraId="1F82F38D" w14:textId="77777777" w:rsidR="00DC6BEF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Patients with complex needs receive consistent, coordinated care from professionals they know and trust.</w:t>
      </w:r>
    </w:p>
    <w:p w14:paraId="50F57543" w14:textId="5CAE2309" w:rsidR="00DC6BEF" w:rsidRPr="00141DDB" w:rsidRDefault="00DC6BEF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MDT-based models maintain continuity (relational, managerial and informational), through team-based familiarity.</w:t>
      </w:r>
    </w:p>
    <w:p w14:paraId="0B9C47E2" w14:textId="4145C51D" w:rsidR="00DC6BEF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 xml:space="preserve">Primary </w:t>
      </w:r>
      <w:r w:rsidR="00DC6BEF" w:rsidRPr="00141DDB">
        <w:rPr>
          <w:rFonts w:ascii="Ubuntu Light" w:hAnsi="Ubuntu Light"/>
        </w:rPr>
        <w:t xml:space="preserve">and community </w:t>
      </w:r>
      <w:r w:rsidRPr="00141DDB">
        <w:rPr>
          <w:rFonts w:ascii="Ubuntu Light" w:hAnsi="Ubuntu Light"/>
        </w:rPr>
        <w:t>care is a fulfilling and sustainable career</w:t>
      </w:r>
      <w:r w:rsidR="00DC6BEF" w:rsidRPr="00141DDB">
        <w:rPr>
          <w:rFonts w:ascii="Ubuntu Light" w:hAnsi="Ubuntu Light"/>
        </w:rPr>
        <w:t>.</w:t>
      </w:r>
    </w:p>
    <w:p w14:paraId="1C2D1CAE" w14:textId="74FF5E56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Health inequalities are reduced through systems deliver</w:t>
      </w:r>
      <w:r w:rsidR="00DC6BEF" w:rsidRPr="00141DDB">
        <w:rPr>
          <w:rFonts w:ascii="Ubuntu Light" w:hAnsi="Ubuntu Light"/>
        </w:rPr>
        <w:t>ing</w:t>
      </w:r>
      <w:r w:rsidRPr="00141DDB">
        <w:rPr>
          <w:rFonts w:ascii="Ubuntu Light" w:hAnsi="Ubuntu Light"/>
        </w:rPr>
        <w:t xml:space="preserve"> continuity in communities most in need.</w:t>
      </w:r>
    </w:p>
    <w:p w14:paraId="09B20D4A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Patient satisfaction and trust are significantly improved.</w:t>
      </w:r>
    </w:p>
    <w:p w14:paraId="0EB48DB4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Preventive care is widely adopted and accessible.</w:t>
      </w:r>
    </w:p>
    <w:p w14:paraId="3FACE03F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Emergency attendances and hospital admissions are substantially reduced.</w:t>
      </w:r>
    </w:p>
    <w:p w14:paraId="6623B105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Mortality rates are lowered through proactive and coordinated care.</w:t>
      </w:r>
    </w:p>
    <w:p w14:paraId="024AE862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Healthcare system costs are reduced through efficiency and prevention.</w:t>
      </w:r>
    </w:p>
    <w:p w14:paraId="4F8BC1DD" w14:textId="660679E2" w:rsidR="00BC79CC" w:rsidRPr="00C364A8" w:rsidRDefault="00BC79CC" w:rsidP="00DC6BEF">
      <w:pPr>
        <w:spacing w:before="120" w:after="120" w:line="276" w:lineRule="auto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lastRenderedPageBreak/>
        <w:t xml:space="preserve">High Level Recommendations </w:t>
      </w:r>
    </w:p>
    <w:p w14:paraId="3F99223D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Prioritise Proportionate Continuity</w:t>
      </w:r>
    </w:p>
    <w:p w14:paraId="70C347AA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Identify and target individuals and groups who benefit most (e.g. frail older adults, those with a history of trauma, multimorbidity, deprivation).</w:t>
      </w:r>
    </w:p>
    <w:p w14:paraId="0EA125DE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Embed ‘continuity by design’ into pathways, especially for those with complex needs.</w:t>
      </w:r>
    </w:p>
    <w:p w14:paraId="5FC1A765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Embed Continuity into Policy, Contracts, and Performance Frameworks</w:t>
      </w:r>
    </w:p>
    <w:p w14:paraId="233FC042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Make continuity a core outcome in national frameworks.</w:t>
      </w:r>
    </w:p>
    <w:p w14:paraId="5FBF7366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Adopt continuity measures such as Usual Provider of Care (UPC) and the modified St Leonard’s Index of Continuity of Care (SLIC) being introduced in Wales.</w:t>
      </w:r>
    </w:p>
    <w:p w14:paraId="4EBAFE93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Support practices to balance access and continuity through tailored quality improvement programmes and updates to national contracts.</w:t>
      </w:r>
    </w:p>
    <w:p w14:paraId="04096C80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Support Stable, Local Teams in General Practice</w:t>
      </w:r>
    </w:p>
    <w:p w14:paraId="78942D1C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Promote smaller, stable teams within larger practices to enable continuity.</w:t>
      </w:r>
    </w:p>
    <w:p w14:paraId="6793775E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Explore return to personal lists, especially for those with complex needs.</w:t>
      </w:r>
    </w:p>
    <w:p w14:paraId="1F573614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Appoint continuity leads at practice or cluster level.</w:t>
      </w:r>
    </w:p>
    <w:p w14:paraId="107A4E57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Invest in the Workforce and Infrastructure</w:t>
      </w:r>
    </w:p>
    <w:p w14:paraId="3F1C18A0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Maintain GP recruitment and improve retention, while continuing to focus training on managing complexity and building strong relationships.</w:t>
      </w:r>
    </w:p>
    <w:p w14:paraId="33E994BB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Support development of integrated digital systems that enable shared care records and personalised access.</w:t>
      </w:r>
    </w:p>
    <w:p w14:paraId="22FBA546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Ensure continuity is embedded in digital-first models, not undermined by them.</w:t>
      </w:r>
    </w:p>
    <w:p w14:paraId="418B9726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Build Evidence Across MDTs</w:t>
      </w:r>
    </w:p>
    <w:p w14:paraId="23326286" w14:textId="49FDF886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 xml:space="preserve">Expand the evidence base </w:t>
      </w:r>
      <w:r w:rsidR="00587FD9" w:rsidRPr="00141DDB">
        <w:rPr>
          <w:rFonts w:ascii="Ubuntu Light" w:hAnsi="Ubuntu Light"/>
        </w:rPr>
        <w:t>on the</w:t>
      </w:r>
      <w:r w:rsidRPr="00141DDB">
        <w:rPr>
          <w:rFonts w:ascii="Ubuntu Light" w:hAnsi="Ubuntu Light"/>
        </w:rPr>
        <w:t xml:space="preserve"> the benefits of continuity of care beyond general practice, including in optometry, dentistry, nursing, pharmacy and allied health professions.</w:t>
      </w:r>
    </w:p>
    <w:p w14:paraId="5EFA80B9" w14:textId="6C149BD2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 xml:space="preserve">Design and evaluate models of continuity within </w:t>
      </w:r>
      <w:r w:rsidR="00135410" w:rsidRPr="00141DDB">
        <w:rPr>
          <w:rFonts w:ascii="Ubuntu Light" w:hAnsi="Ubuntu Light"/>
        </w:rPr>
        <w:t xml:space="preserve">MDTs </w:t>
      </w:r>
      <w:r w:rsidRPr="00141DDB">
        <w:rPr>
          <w:rFonts w:ascii="Ubuntu Light" w:hAnsi="Ubuntu Light"/>
        </w:rPr>
        <w:t xml:space="preserve">to explore how consistent care relationships can be effectively maintained across diverse professional </w:t>
      </w:r>
      <w:r w:rsidR="00257AF7" w:rsidRPr="00141DDB">
        <w:rPr>
          <w:rFonts w:ascii="Ubuntu Light" w:hAnsi="Ubuntu Light"/>
        </w:rPr>
        <w:t>roles and</w:t>
      </w:r>
      <w:r w:rsidRPr="00141DDB">
        <w:rPr>
          <w:rFonts w:ascii="Ubuntu Light" w:hAnsi="Ubuntu Light"/>
        </w:rPr>
        <w:t xml:space="preserve"> assess the impact of these models on patient outcomes and service delivery.</w:t>
      </w:r>
    </w:p>
    <w:p w14:paraId="06F3E9AD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Measure, Monitor, and Learn</w:t>
      </w:r>
    </w:p>
    <w:p w14:paraId="5658391C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Build robust data systems to track continuity across professions and care settings.</w:t>
      </w:r>
    </w:p>
    <w:p w14:paraId="1193C7E8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Use real-world data to evaluate how continuity impacts outcomes across population subgroups.</w:t>
      </w:r>
    </w:p>
    <w:p w14:paraId="69E15D2B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Champion Continuity as a Public Health Priority</w:t>
      </w:r>
    </w:p>
    <w:p w14:paraId="05C02B64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Increase visibility of continuity within national inclusion health policies.</w:t>
      </w:r>
    </w:p>
    <w:p w14:paraId="384D5CF7" w14:textId="70119F68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Ensure leadership at all levels supports continuity as central to improving equity, quality, and sustainability</w:t>
      </w:r>
      <w:r w:rsidR="00C364A8" w:rsidRPr="00141DDB">
        <w:rPr>
          <w:rFonts w:ascii="Ubuntu Light" w:hAnsi="Ubuntu Light"/>
        </w:rPr>
        <w:t>.</w:t>
      </w:r>
    </w:p>
    <w:p w14:paraId="5963AFF3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hAnsi="Ubuntu"/>
          <w:b/>
          <w:bCs/>
        </w:rPr>
        <w:t>Promote Education and Resources</w:t>
      </w:r>
    </w:p>
    <w:p w14:paraId="6061EBF2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Promote the use of resources such as the RCGP Continuity of Care Toolkit to support training and development in continuity-focused practice.</w:t>
      </w:r>
    </w:p>
    <w:p w14:paraId="5A9F22A5" w14:textId="02048972" w:rsidR="000C765A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hAnsi="Ubuntu Light"/>
        </w:rPr>
        <w:t>Provide ongoing professional development opportunities to help GPs and other healthcare professionals manage complex care needs through continuity-based approaches.</w:t>
      </w:r>
    </w:p>
    <w:p w14:paraId="33C26BBB" w14:textId="68B86DD6" w:rsidR="00141DDB" w:rsidRPr="00141DDB" w:rsidRDefault="00141DDB" w:rsidP="00141DDB">
      <w:pPr>
        <w:spacing w:before="120" w:after="120"/>
        <w:ind w:left="113"/>
        <w:rPr>
          <w:rFonts w:ascii="Ubuntu Light" w:hAnsi="Ubuntu Light"/>
        </w:rPr>
      </w:pPr>
      <w:r>
        <w:rPr>
          <w:rFonts w:ascii="Ubuntu Light" w:hAnsi="Ubuntu Light"/>
        </w:rPr>
        <w:t>END</w:t>
      </w:r>
    </w:p>
    <w:sectPr w:rsidR="00141DDB" w:rsidRPr="00141DDB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E1954" w14:textId="77777777" w:rsidR="00A20F0B" w:rsidRDefault="00A20F0B">
      <w:r>
        <w:separator/>
      </w:r>
    </w:p>
  </w:endnote>
  <w:endnote w:type="continuationSeparator" w:id="0">
    <w:p w14:paraId="7FCECBE1" w14:textId="77777777" w:rsidR="00A20F0B" w:rsidRDefault="00A20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8035F" w14:textId="77777777" w:rsidR="00A20F0B" w:rsidRDefault="00A20F0B">
      <w:r>
        <w:rPr>
          <w:color w:val="000000"/>
        </w:rPr>
        <w:separator/>
      </w:r>
    </w:p>
  </w:footnote>
  <w:footnote w:type="continuationSeparator" w:id="0">
    <w:p w14:paraId="28A4F62B" w14:textId="77777777" w:rsidR="00A20F0B" w:rsidRDefault="00A20F0B">
      <w:r>
        <w:continuationSeparator/>
      </w:r>
    </w:p>
  </w:footnote>
  <w:footnote w:id="1">
    <w:p w14:paraId="22776927" w14:textId="7707C418" w:rsidR="007426C6" w:rsidRPr="007426C6" w:rsidRDefault="007426C6">
      <w:pPr>
        <w:pStyle w:val="FootnoteText"/>
        <w:rPr>
          <w:rFonts w:ascii="Ubuntu Light" w:hAnsi="Ubuntu Light"/>
          <w:sz w:val="18"/>
          <w:szCs w:val="18"/>
        </w:rPr>
      </w:pPr>
      <w:r w:rsidRPr="007426C6">
        <w:rPr>
          <w:rStyle w:val="FootnoteReference"/>
          <w:rFonts w:ascii="Ubuntu Light" w:hAnsi="Ubuntu Light"/>
          <w:sz w:val="18"/>
          <w:szCs w:val="18"/>
        </w:rPr>
        <w:footnoteRef/>
      </w:r>
      <w:r w:rsidRPr="007426C6">
        <w:rPr>
          <w:rFonts w:ascii="Ubuntu Light" w:hAnsi="Ubuntu Light"/>
          <w:sz w:val="18"/>
          <w:szCs w:val="18"/>
        </w:rPr>
        <w:t xml:space="preserve"> </w:t>
      </w:r>
      <w:hyperlink r:id="rId1" w:history="1">
        <w:r w:rsidRPr="007426C6">
          <w:rPr>
            <w:rFonts w:ascii="Ubuntu Light" w:hAnsi="Ubuntu Light"/>
            <w:color w:val="0000FF"/>
            <w:sz w:val="18"/>
            <w:szCs w:val="18"/>
            <w:u w:val="single"/>
          </w:rPr>
          <w:t>Measuring continuity of care in general practice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E8511D"/>
    <w:multiLevelType w:val="multilevel"/>
    <w:tmpl w:val="2C308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967E72"/>
    <w:multiLevelType w:val="hybridMultilevel"/>
    <w:tmpl w:val="73B688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374E1E"/>
    <w:multiLevelType w:val="hybridMultilevel"/>
    <w:tmpl w:val="44AAC0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9D1BB7"/>
    <w:multiLevelType w:val="hybridMultilevel"/>
    <w:tmpl w:val="D0A4E0A0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5" w15:restartNumberingAfterBreak="0">
    <w:nsid w:val="50354BC0"/>
    <w:multiLevelType w:val="hybridMultilevel"/>
    <w:tmpl w:val="8E141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AB40DE"/>
    <w:multiLevelType w:val="multilevel"/>
    <w:tmpl w:val="9A6CC5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597DF0"/>
    <w:multiLevelType w:val="hybridMultilevel"/>
    <w:tmpl w:val="491067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DA09EE"/>
    <w:multiLevelType w:val="multilevel"/>
    <w:tmpl w:val="2AAC5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6A44D3F"/>
    <w:multiLevelType w:val="hybridMultilevel"/>
    <w:tmpl w:val="43382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93372DE"/>
    <w:multiLevelType w:val="hybridMultilevel"/>
    <w:tmpl w:val="E4228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BE1435A"/>
    <w:multiLevelType w:val="hybridMultilevel"/>
    <w:tmpl w:val="20A4B6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0D00EB"/>
    <w:multiLevelType w:val="hybridMultilevel"/>
    <w:tmpl w:val="45E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920682"/>
    <w:multiLevelType w:val="hybridMultilevel"/>
    <w:tmpl w:val="AD923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52782">
    <w:abstractNumId w:val="17"/>
  </w:num>
  <w:num w:numId="2" w16cid:durableId="1418014668">
    <w:abstractNumId w:val="23"/>
  </w:num>
  <w:num w:numId="3" w16cid:durableId="1518539747">
    <w:abstractNumId w:val="10"/>
  </w:num>
  <w:num w:numId="4" w16cid:durableId="560945119">
    <w:abstractNumId w:val="3"/>
  </w:num>
  <w:num w:numId="5" w16cid:durableId="1583876280">
    <w:abstractNumId w:val="6"/>
  </w:num>
  <w:num w:numId="6" w16cid:durableId="1456094992">
    <w:abstractNumId w:val="0"/>
  </w:num>
  <w:num w:numId="7" w16cid:durableId="1006592979">
    <w:abstractNumId w:val="21"/>
  </w:num>
  <w:num w:numId="8" w16cid:durableId="1978561455">
    <w:abstractNumId w:val="18"/>
  </w:num>
  <w:num w:numId="9" w16cid:durableId="194588268">
    <w:abstractNumId w:val="4"/>
  </w:num>
  <w:num w:numId="10" w16cid:durableId="64299887">
    <w:abstractNumId w:val="7"/>
  </w:num>
  <w:num w:numId="11" w16cid:durableId="1766269980">
    <w:abstractNumId w:val="27"/>
  </w:num>
  <w:num w:numId="12" w16cid:durableId="1813710671">
    <w:abstractNumId w:val="1"/>
  </w:num>
  <w:num w:numId="13" w16cid:durableId="2092968122">
    <w:abstractNumId w:val="9"/>
  </w:num>
  <w:num w:numId="14" w16cid:durableId="1071737941">
    <w:abstractNumId w:val="12"/>
  </w:num>
  <w:num w:numId="15" w16cid:durableId="1666663802">
    <w:abstractNumId w:val="25"/>
  </w:num>
  <w:num w:numId="16" w16cid:durableId="1017195078">
    <w:abstractNumId w:val="22"/>
  </w:num>
  <w:num w:numId="17" w16cid:durableId="403647697">
    <w:abstractNumId w:val="5"/>
  </w:num>
  <w:num w:numId="18" w16cid:durableId="1641380043">
    <w:abstractNumId w:val="13"/>
  </w:num>
  <w:num w:numId="19" w16cid:durableId="590546145">
    <w:abstractNumId w:val="2"/>
  </w:num>
  <w:num w:numId="20" w16cid:durableId="2144498452">
    <w:abstractNumId w:val="16"/>
    <w:lvlOverride w:ilvl="0">
      <w:startOverride w:val="1"/>
    </w:lvlOverride>
  </w:num>
  <w:num w:numId="21" w16cid:durableId="1088312227">
    <w:abstractNumId w:val="20"/>
  </w:num>
  <w:num w:numId="22" w16cid:durableId="1232543714">
    <w:abstractNumId w:val="19"/>
  </w:num>
  <w:num w:numId="23" w16cid:durableId="187498722">
    <w:abstractNumId w:val="29"/>
  </w:num>
  <w:num w:numId="24" w16cid:durableId="1261067926">
    <w:abstractNumId w:val="24"/>
  </w:num>
  <w:num w:numId="25" w16cid:durableId="397826390">
    <w:abstractNumId w:val="30"/>
  </w:num>
  <w:num w:numId="26" w16cid:durableId="1299916751">
    <w:abstractNumId w:val="26"/>
  </w:num>
  <w:num w:numId="27" w16cid:durableId="1423335478">
    <w:abstractNumId w:val="15"/>
  </w:num>
  <w:num w:numId="28" w16cid:durableId="117652678">
    <w:abstractNumId w:val="8"/>
  </w:num>
  <w:num w:numId="29" w16cid:durableId="1743334467">
    <w:abstractNumId w:val="11"/>
  </w:num>
  <w:num w:numId="30" w16cid:durableId="484930810">
    <w:abstractNumId w:val="28"/>
  </w:num>
  <w:num w:numId="31" w16cid:durableId="111537189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B0B84"/>
    <w:rsid w:val="000C765A"/>
    <w:rsid w:val="0011361D"/>
    <w:rsid w:val="00135410"/>
    <w:rsid w:val="00141DDB"/>
    <w:rsid w:val="001629C3"/>
    <w:rsid w:val="001878AB"/>
    <w:rsid w:val="001B0082"/>
    <w:rsid w:val="001E4443"/>
    <w:rsid w:val="001E59E9"/>
    <w:rsid w:val="00200258"/>
    <w:rsid w:val="00225DE0"/>
    <w:rsid w:val="00257AF7"/>
    <w:rsid w:val="002B728D"/>
    <w:rsid w:val="002D27C8"/>
    <w:rsid w:val="00300A4B"/>
    <w:rsid w:val="0032065C"/>
    <w:rsid w:val="00333927"/>
    <w:rsid w:val="00337304"/>
    <w:rsid w:val="00435DA8"/>
    <w:rsid w:val="004B287E"/>
    <w:rsid w:val="004E2A98"/>
    <w:rsid w:val="00512D2E"/>
    <w:rsid w:val="00515B84"/>
    <w:rsid w:val="005568E8"/>
    <w:rsid w:val="005613D9"/>
    <w:rsid w:val="00573D94"/>
    <w:rsid w:val="00587FD9"/>
    <w:rsid w:val="006650A3"/>
    <w:rsid w:val="0066791C"/>
    <w:rsid w:val="00696110"/>
    <w:rsid w:val="006C0679"/>
    <w:rsid w:val="007426C6"/>
    <w:rsid w:val="00853B45"/>
    <w:rsid w:val="008778A5"/>
    <w:rsid w:val="008A7750"/>
    <w:rsid w:val="008B0B78"/>
    <w:rsid w:val="008C752E"/>
    <w:rsid w:val="008F7683"/>
    <w:rsid w:val="00936E10"/>
    <w:rsid w:val="009850F8"/>
    <w:rsid w:val="009A1550"/>
    <w:rsid w:val="009C3BCA"/>
    <w:rsid w:val="009D2ECD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4D72"/>
    <w:rsid w:val="00AE6C20"/>
    <w:rsid w:val="00B222D5"/>
    <w:rsid w:val="00B76024"/>
    <w:rsid w:val="00B77DFD"/>
    <w:rsid w:val="00BA4011"/>
    <w:rsid w:val="00BC79CC"/>
    <w:rsid w:val="00C238C5"/>
    <w:rsid w:val="00C33EA0"/>
    <w:rsid w:val="00C364A8"/>
    <w:rsid w:val="00C40BA8"/>
    <w:rsid w:val="00C410E0"/>
    <w:rsid w:val="00C559BD"/>
    <w:rsid w:val="00C65035"/>
    <w:rsid w:val="00C8623D"/>
    <w:rsid w:val="00D01D9D"/>
    <w:rsid w:val="00D03C4C"/>
    <w:rsid w:val="00D33335"/>
    <w:rsid w:val="00D37459"/>
    <w:rsid w:val="00D44B86"/>
    <w:rsid w:val="00D46D73"/>
    <w:rsid w:val="00DC6BEF"/>
    <w:rsid w:val="00DD5E29"/>
    <w:rsid w:val="00DE02E0"/>
    <w:rsid w:val="00E71C40"/>
    <w:rsid w:val="00E7502E"/>
    <w:rsid w:val="00E854F2"/>
    <w:rsid w:val="00EE1FAB"/>
    <w:rsid w:val="00EE403F"/>
    <w:rsid w:val="00F427C6"/>
    <w:rsid w:val="00F8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en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  <w:style w:type="character" w:styleId="CommentReference">
    <w:name w:val="annotation reference"/>
    <w:basedOn w:val="DefaultParagraphFont"/>
    <w:uiPriority w:val="99"/>
    <w:semiHidden/>
    <w:unhideWhenUsed/>
    <w:rsid w:val="00587F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87F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87F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7F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7F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health.org.uk/sites/default/files/pdf/2023-11/2023%20-%20Continuity%20of%20care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7" ma:contentTypeDescription="Create a new document." ma:contentTypeScope="" ma:versionID="55cbb0de550ddf9caa78d72b1224c8db">
  <xsd:schema xmlns:xsd="http://www.w3.org/2001/XMLSchema" xmlns:xs="http://www.w3.org/2001/XMLSchema" xmlns:p="http://schemas.microsoft.com/office/2006/metadata/properties" xmlns:ns1="http://schemas.microsoft.com/sharepoint/v3" xmlns:ns2="2e920aae-e81d-44c3-9bf1-a4827f32e6ee" xmlns:ns3="4167e674-6a9f-4892-8806-05d2e97a6b2a" targetNamespace="http://schemas.microsoft.com/office/2006/metadata/properties" ma:root="true" ma:fieldsID="5d45a2a7935608416830c4f3e8ec557b" ns1:_="" ns2:_="" ns3:_="">
    <xsd:import namespace="http://schemas.microsoft.com/sharepoint/v3"/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HealthBoard" minOccurs="0"/>
                <xsd:element ref="ns2:Project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3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simpleType>
        <xsd:restriction base="dms:Choice">
          <xsd:enumeration value="Dental Public Health"/>
          <xsd:enumeration value="Business Support"/>
          <xsd:enumeration value="Environmentally Sustainable Health and Care"/>
          <xsd:enumeration value="Healthcare Public Health"/>
          <xsd:enumeration value="Inequalities and Inequity"/>
          <xsd:enumeration value="Prevention in Health and Care"/>
          <xsd:enumeration value="Transformation of Primary Care"/>
          <xsd:enumeration value="QI"/>
          <xsd:enumeration value="Research &amp; Evaluation"/>
        </xsd:restriction>
      </xsd:simple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Population Health Enablers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"/>
                    <xsd:enumeration value="Evaluation"/>
                    <xsd:enumeration value="Greener Primary Care Wales"/>
                    <xsd:enumeration value="Inhalers"/>
                    <xsd:enumeration value="Climate Change Other"/>
                    <xsd:enumeration value="IMTP"/>
                    <xsd:enumeration value="Delivering Integrated Services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Steering Commite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Other Dental"/>
                    <xsd:enumeration value="WS1"/>
                    <xsd:enumeration value="WS2"/>
                    <xsd:enumeration value="WS3"/>
                    <xsd:enumeration value="WS4"/>
                    <xsd:enumeration value="GAB National Advisory Group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Practitioner Peer Group"/>
                    <xsd:enumeration value="SPPC"/>
                    <xsd:enumeration value="KRIC"/>
                    <xsd:enumeration value="QSIC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  <xsd:enumeration value="Case Studies"/>
                    <xsd:enumeration value="Evidence review"/>
                    <xsd:enumeration value="Research proposal"/>
                    <xsd:enumeration value="Questionnaire"/>
                    <xsd:enumeration value="Evaluation plan"/>
                    <xsd:enumeration value="Evaluation report"/>
                    <xsd:enumeration value="Infographic"/>
                    <xsd:enumeration value="Impact Assessment"/>
                    <xsd:enumeration value="Tender/Spec"/>
                    <xsd:enumeration value="Contract/Agreement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simpleType>
        <xsd:restriction base="dms:Choice">
          <xsd:enumeration value="Operating Procedures"/>
          <xsd:enumeration value="Communications"/>
          <xsd:enumeration value="Resources"/>
          <xsd:enumeration value="Emergency Planning"/>
          <xsd:enumeration value="Finance &amp; Procurement"/>
          <xsd:enumeration value="Planning and performance"/>
          <xsd:enumeration value="PH30"/>
          <xsd:enumeration value="PH31"/>
          <xsd:enumeration value="PH32"/>
          <xsd:enumeration value="PH35"/>
          <xsd:enumeration value="PH53"/>
          <xsd:enumeration value="Invoice"/>
          <xsd:enumeration value="Quote"/>
          <xsd:enumeration value="STA"/>
          <xsd:enumeration value="Grants"/>
          <xsd:enumeration value="People"/>
          <xsd:enumeration value="SharePoint"/>
        </xsd:restriction>
      </xsd:simple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HealthBoard" ma:index="30" nillable="true" ma:displayName="Health Board" ma:format="Dropdown" ma:internalName="HealthBoard">
      <xsd:simpleType>
        <xsd:restriction base="dms:Choice">
          <xsd:enumeration value="ABUHB"/>
          <xsd:enumeration value="BCUHB"/>
          <xsd:enumeration value="C&amp;V UHB"/>
          <xsd:enumeration value="CTMUHB"/>
          <xsd:enumeration value="HDUHN"/>
          <xsd:enumeration value="PTB"/>
          <xsd:enumeration value="SBUHB"/>
          <xsd:enumeration value="Choice 8"/>
        </xsd:restriction>
      </xsd:simpleType>
    </xsd:element>
    <xsd:element name="Project" ma:index="31" nillable="true" ma:displayName="Project" ma:format="Dropdown" ma:internalName="Project">
      <xsd:simpleType>
        <xsd:restriction base="dms:Choice">
          <xsd:enumeration value="WH Health &amp; Wellbeing After Pregnancy"/>
          <xsd:enumeration value="WH Contraception After Pregnancy"/>
          <xsd:enumeration value="WH Weight Management After Pregnancy"/>
          <xsd:enumeration value="SP Core Data Set"/>
          <xsd:enumeration value="SP Competence Framework"/>
          <xsd:enumeration value="SP Quality Standards for Community Assets"/>
          <xsd:enumeration value="SP Outcomes Framework"/>
          <xsd:enumeration value="SP Financial WB Scoping Review"/>
          <xsd:enumeration value="SP Warm Wales Evaluation"/>
          <xsd:enumeration value="SP CAMHS"/>
          <xsd:enumeration value="SP NFfSP"/>
          <xsd:enumeration value="SP Financial Wellbeing"/>
          <xsd:enumeration value="SP CYP"/>
          <xsd:enumeration value="HI Health Inequalities Action Plan"/>
          <xsd:enumeration value="CVD Prevention Strategic Plan"/>
          <xsd:enumeration value="CVD QI Project - Hypertension"/>
          <xsd:enumeration value="CVD Commissioned Research"/>
          <xsd:enumeration value="CVD Prevention Implementation"/>
          <xsd:enumeration value="IH Safer Surgeries"/>
          <xsd:enumeration value="IH Criminal Justice"/>
          <xsd:enumeration value="IH Homelessness"/>
          <xsd:enumeration value="IH Refugees &amp; Asylum Seekers"/>
          <xsd:enumeration value="IH Gypsy and traveller"/>
          <xsd:enumeration value="PCMW Self Reflection"/>
          <xsd:enumeration value="PCMW Peer Review"/>
          <xsd:enumeration value="PCMW Key Indicators"/>
          <xsd:enumeration value="PCMW System Working"/>
        </xsd:restriction>
      </xsd:simpleType>
    </xsd:element>
    <xsd:element name="MediaServiceBillingMetadata" ma:index="3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 xmlns="2e920aae-e81d-44c3-9bf1-a4827f32e6ee">false</Archive>
    <Meetingtype xmlns="2e920aae-e81d-44c3-9bf1-a4827f32e6ee" xsi:nil="true"/>
    <BusinessFunction xmlns="2e920aae-e81d-44c3-9bf1-a4827f32e6ee" xsi:nil="true"/>
    <_ip_UnifiedCompliancePolicyUIAction xmlns="http://schemas.microsoft.com/sharepoint/v3" xsi:nil="true"/>
    <DataAnalysis xmlns="2e920aae-e81d-44c3-9bf1-a4827f32e6ee" xsi:nil="true"/>
    <Year xmlns="2e920aae-e81d-44c3-9bf1-a4827f32e6ee" xsi:nil="true"/>
    <Groupormeeting xmlns="2e920aae-e81d-44c3-9bf1-a4827f32e6ee" xsi:nil="true"/>
    <HealthBoard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_ip_UnifiedCompliancePolicyProperties xmlns="http://schemas.microsoft.com/sharepoint/v3" xsi:nil="true"/>
    <Workstream xmlns="2e920aae-e81d-44c3-9bf1-a4827f32e6ee" xsi:nil="true"/>
    <Project xmlns="2e920aae-e81d-44c3-9bf1-a4827f32e6ee" xsi:nil="true"/>
    <Month xmlns="2e920aae-e81d-44c3-9bf1-a4827f32e6ee" xsi:nil="true"/>
    <Programmesandprojects xmlns="2e920aae-e81d-44c3-9bf1-a4827f32e6ee" xsi:nil="true"/>
    <DocumentType xmlns="2e920aae-e81d-44c3-9bf1-a4827f32e6ee" xsi:nil="true"/>
    <TaxCatchAll xmlns="4167e674-6a9f-4892-8806-05d2e97a6b2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0466F-58CF-4405-9CE1-AB4283D1A9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e920aae-e81d-44c3-9bf1-a4827f32e6ee"/>
    <ds:schemaRef ds:uri="4167e674-6a9f-4892-8806-05d2e97a6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0A5647-1D12-4E71-A997-585706B5B3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30588A-AA05-43FE-9310-14C405293199}">
  <ds:schemaRefs>
    <ds:schemaRef ds:uri="http://schemas.microsoft.com/office/2006/metadata/properties"/>
    <ds:schemaRef ds:uri="http://schemas.microsoft.com/office/infopath/2007/PartnerControls"/>
    <ds:schemaRef ds:uri="2e920aae-e81d-44c3-9bf1-a4827f32e6ee"/>
    <ds:schemaRef ds:uri="http://schemas.microsoft.com/sharepoint/v3"/>
    <ds:schemaRef ds:uri="4167e674-6a9f-4892-8806-05d2e97a6b2a"/>
  </ds:schemaRefs>
</ds:datastoreItem>
</file>

<file path=customXml/itemProps4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2</Pages>
  <Words>753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Rachel Andrew (PHW - Public health medicine)</cp:lastModifiedBy>
  <cp:revision>8</cp:revision>
  <dcterms:created xsi:type="dcterms:W3CDTF">2025-11-27T13:48:00Z</dcterms:created>
  <dcterms:modified xsi:type="dcterms:W3CDTF">2025-11-28T09:53:00Z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