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3940B2" w14:textId="536A66EA" w:rsidR="009E3674" w:rsidRDefault="00CD61B4" w:rsidP="00ED63FB">
      <w:pPr>
        <w:jc w:val="both"/>
      </w:pPr>
      <w:r>
        <w:rPr>
          <w:noProof/>
        </w:rPr>
        <w:drawing>
          <wp:anchor distT="0" distB="0" distL="114300" distR="114300" simplePos="0" relativeHeight="251684352" behindDoc="0" locked="0" layoutInCell="1" allowOverlap="1" wp14:anchorId="0E1DB1B5" wp14:editId="368D8A1D">
            <wp:simplePos x="0" y="0"/>
            <wp:positionH relativeFrom="column">
              <wp:posOffset>2247900</wp:posOffset>
            </wp:positionH>
            <wp:positionV relativeFrom="paragraph">
              <wp:posOffset>-353695</wp:posOffset>
            </wp:positionV>
            <wp:extent cx="2371725" cy="2352675"/>
            <wp:effectExtent l="0" t="0" r="9525" b="952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2371725" cy="2352675"/>
                    </a:xfrm>
                    <a:prstGeom prst="rect">
                      <a:avLst/>
                    </a:prstGeom>
                  </pic:spPr>
                </pic:pic>
              </a:graphicData>
            </a:graphic>
            <wp14:sizeRelH relativeFrom="page">
              <wp14:pctWidth>0</wp14:pctWidth>
            </wp14:sizeRelH>
            <wp14:sizeRelV relativeFrom="page">
              <wp14:pctHeight>0</wp14:pctHeight>
            </wp14:sizeRelV>
          </wp:anchor>
        </w:drawing>
      </w:r>
      <w:r w:rsidR="00AD6D1C">
        <w:rPr>
          <w:noProof/>
          <w:lang w:val="en-GB" w:eastAsia="en-GB"/>
        </w:rPr>
        <mc:AlternateContent>
          <mc:Choice Requires="wps">
            <w:drawing>
              <wp:anchor distT="0" distB="0" distL="114300" distR="114300" simplePos="0" relativeHeight="251644416" behindDoc="0" locked="0" layoutInCell="1" allowOverlap="1" wp14:anchorId="001385B1" wp14:editId="64E56934">
                <wp:simplePos x="0" y="0"/>
                <wp:positionH relativeFrom="column">
                  <wp:posOffset>9525</wp:posOffset>
                </wp:positionH>
                <wp:positionV relativeFrom="page">
                  <wp:posOffset>3714750</wp:posOffset>
                </wp:positionV>
                <wp:extent cx="6800850" cy="3505200"/>
                <wp:effectExtent l="0" t="0" r="0" b="0"/>
                <wp:wrapNone/>
                <wp:docPr id="65"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00850" cy="3505200"/>
                        </a:xfrm>
                        <a:prstGeom prst="rect">
                          <a:avLst/>
                        </a:prstGeom>
                        <a:noFill/>
                        <a:ln w="6350">
                          <a:noFill/>
                        </a:ln>
                      </wps:spPr>
                      <wps:txbx>
                        <w:txbxContent>
                          <w:p w14:paraId="4B812ECD" w14:textId="587584F1" w:rsidR="00494D7A" w:rsidRPr="007D4174" w:rsidRDefault="00AD6D1C" w:rsidP="00494D7A">
                            <w:pPr>
                              <w:rPr>
                                <w:rFonts w:ascii="Arial" w:hAnsi="Arial" w:cs="Arial"/>
                                <w:b/>
                                <w:bCs/>
                                <w:color w:val="FFFFFF" w:themeColor="background1"/>
                                <w:sz w:val="72"/>
                                <w:szCs w:val="72"/>
                              </w:rPr>
                            </w:pPr>
                            <w:r w:rsidRPr="00AD6D1C">
                              <w:rPr>
                                <w:rFonts w:ascii="Arial" w:hAnsi="Arial" w:cs="Arial"/>
                                <w:b/>
                                <w:bCs/>
                                <w:color w:val="FFFFFF" w:themeColor="background1"/>
                                <w:sz w:val="72"/>
                                <w:szCs w:val="72"/>
                              </w:rPr>
                              <w:t xml:space="preserve">Urgent Primary Care 24/7 and NHS Wales 111 </w:t>
                            </w:r>
                            <w:r w:rsidR="00FF23DB" w:rsidRPr="00AD6D1C">
                              <w:rPr>
                                <w:rFonts w:ascii="Arial" w:hAnsi="Arial" w:cs="Arial"/>
                                <w:b/>
                                <w:bCs/>
                                <w:color w:val="FFFFFF"/>
                                <w:sz w:val="72"/>
                                <w:szCs w:val="72"/>
                                <w:lang w:val="en-GB"/>
                              </w:rPr>
                              <w:t>Peer Review Annual Report</w:t>
                            </w:r>
                            <w:r w:rsidR="00137A7C">
                              <w:rPr>
                                <w:rFonts w:ascii="Arial" w:hAnsi="Arial" w:cs="Arial"/>
                                <w:b/>
                                <w:bCs/>
                                <w:color w:val="FFFFFF"/>
                                <w:sz w:val="72"/>
                                <w:szCs w:val="72"/>
                                <w:lang w:val="en-GB"/>
                              </w:rPr>
                              <w:t xml:space="preserve"> 2023</w:t>
                            </w:r>
                            <w:r w:rsidRPr="00AD6D1C">
                              <w:rPr>
                                <w:rFonts w:ascii="Arial" w:hAnsi="Arial" w:cs="Arial"/>
                                <w:b/>
                                <w:bCs/>
                                <w:color w:val="FFFFFF"/>
                                <w:sz w:val="72"/>
                                <w:szCs w:val="72"/>
                                <w:lang w:val="en-GB"/>
                              </w:rPr>
                              <w:t xml:space="preserve">: Executive Summary </w:t>
                            </w:r>
                            <w:r w:rsidR="00FF23DB" w:rsidRPr="00AD6D1C">
                              <w:rPr>
                                <w:rFonts w:ascii="Arial" w:hAnsi="Arial" w:cs="Arial"/>
                                <w:b/>
                                <w:bCs/>
                                <w:color w:val="FFFFFF"/>
                                <w:sz w:val="72"/>
                                <w:szCs w:val="72"/>
                                <w:lang w:val="en-GB"/>
                              </w:rPr>
                              <w:t xml:space="preserve"> </w:t>
                            </w:r>
                            <w:r w:rsidR="00494D7A" w:rsidRPr="00AD6D1C">
                              <w:rPr>
                                <w:rFonts w:ascii="Arial" w:hAnsi="Arial" w:cs="Arial"/>
                                <w:b/>
                                <w:bCs/>
                                <w:color w:val="FFFFFF"/>
                                <w:sz w:val="72"/>
                                <w:szCs w:val="72"/>
                                <w:lang w:val="en-GB"/>
                              </w:rPr>
                              <w:br/>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1385B1" id="_x0000_t202" coordsize="21600,21600" o:spt="202" path="m,l,21600r21600,l21600,xe">
                <v:stroke joinstyle="miter"/>
                <v:path gradientshapeok="t" o:connecttype="rect"/>
              </v:shapetype>
              <v:shape id="Text Box 65" o:spid="_x0000_s1026" type="#_x0000_t202" style="position:absolute;left:0;text-align:left;margin-left:.75pt;margin-top:292.5pt;width:535.5pt;height:276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" filled="f" stroked="f" strokeweight=".5pt">
                <v:textbox>
                  <w:txbxContent>
                    <w:p w14:paraId="4B812ECD" w14:textId="587584F1" w:rsidR="00494D7A" w:rsidRPr="007D4174" w:rsidRDefault="00AD6D1C" w:rsidP="00494D7A">
                      <w:pPr>
                        <w:rPr>
                          <w:rFonts w:ascii="Arial" w:hAnsi="Arial" w:cs="Arial"/>
                          <w:b/>
                          <w:bCs/>
                          <w:color w:val="FFFFFF" w:themeColor="background1"/>
                          <w:sz w:val="72"/>
                          <w:szCs w:val="72"/>
                        </w:rPr>
                      </w:pPr>
                      <w:r w:rsidRPr="00AD6D1C">
                        <w:rPr>
                          <w:rFonts w:ascii="Arial" w:hAnsi="Arial" w:cs="Arial"/>
                          <w:b/>
                          <w:bCs/>
                          <w:color w:val="FFFFFF" w:themeColor="background1"/>
                          <w:sz w:val="72"/>
                          <w:szCs w:val="72"/>
                        </w:rPr>
                        <w:t xml:space="preserve">Urgent Primary Care 24/7 and NHS Wales 111 </w:t>
                      </w:r>
                      <w:r w:rsidR="00FF23DB" w:rsidRPr="00AD6D1C">
                        <w:rPr>
                          <w:rFonts w:ascii="Arial" w:hAnsi="Arial" w:cs="Arial"/>
                          <w:b/>
                          <w:bCs/>
                          <w:color w:val="FFFFFF"/>
                          <w:sz w:val="72"/>
                          <w:szCs w:val="72"/>
                          <w:lang w:val="en-GB"/>
                        </w:rPr>
                        <w:t>Peer Review Annual Report</w:t>
                      </w:r>
                      <w:r w:rsidR="00137A7C">
                        <w:rPr>
                          <w:rFonts w:ascii="Arial" w:hAnsi="Arial" w:cs="Arial"/>
                          <w:b/>
                          <w:bCs/>
                          <w:color w:val="FFFFFF"/>
                          <w:sz w:val="72"/>
                          <w:szCs w:val="72"/>
                          <w:lang w:val="en-GB"/>
                        </w:rPr>
                        <w:t xml:space="preserve"> 2023</w:t>
                      </w:r>
                      <w:r w:rsidRPr="00AD6D1C">
                        <w:rPr>
                          <w:rFonts w:ascii="Arial" w:hAnsi="Arial" w:cs="Arial"/>
                          <w:b/>
                          <w:bCs/>
                          <w:color w:val="FFFFFF"/>
                          <w:sz w:val="72"/>
                          <w:szCs w:val="72"/>
                          <w:lang w:val="en-GB"/>
                        </w:rPr>
                        <w:t xml:space="preserve">: Executive Summary </w:t>
                      </w:r>
                      <w:r w:rsidR="00FF23DB" w:rsidRPr="00AD6D1C">
                        <w:rPr>
                          <w:rFonts w:ascii="Arial" w:hAnsi="Arial" w:cs="Arial"/>
                          <w:b/>
                          <w:bCs/>
                          <w:color w:val="FFFFFF"/>
                          <w:sz w:val="72"/>
                          <w:szCs w:val="72"/>
                          <w:lang w:val="en-GB"/>
                        </w:rPr>
                        <w:t xml:space="preserve"> </w:t>
                      </w:r>
                      <w:r w:rsidR="00494D7A" w:rsidRPr="00AD6D1C">
                        <w:rPr>
                          <w:rFonts w:ascii="Arial" w:hAnsi="Arial" w:cs="Arial"/>
                          <w:b/>
                          <w:bCs/>
                          <w:color w:val="FFFFFF"/>
                          <w:sz w:val="72"/>
                          <w:szCs w:val="72"/>
                          <w:lang w:val="en-GB"/>
                        </w:rPr>
                        <w:br/>
                      </w:r>
                    </w:p>
                  </w:txbxContent>
                </v:textbox>
                <w10:wrap anchory="page"/>
              </v:shape>
            </w:pict>
          </mc:Fallback>
        </mc:AlternateContent>
      </w:r>
      <w:r w:rsidR="00DE23DF" w:rsidRPr="000E6F3E">
        <w:rPr>
          <w:rFonts w:ascii="Arial" w:hAnsi="Arial"/>
          <w:noProof/>
          <w:color w:val="000000" w:themeColor="text1"/>
          <w:lang w:val="en-GB"/>
        </w:rPr>
        <mc:AlternateContent>
          <mc:Choice Requires="wps">
            <w:drawing>
              <wp:anchor distT="45720" distB="45720" distL="114300" distR="114300" simplePos="0" relativeHeight="251683328" behindDoc="0" locked="0" layoutInCell="1" allowOverlap="1" wp14:anchorId="7EBDC37F" wp14:editId="7A0AF2A4">
                <wp:simplePos x="0" y="0"/>
                <wp:positionH relativeFrom="page">
                  <wp:posOffset>-419100</wp:posOffset>
                </wp:positionH>
                <wp:positionV relativeFrom="paragraph">
                  <wp:posOffset>-906145</wp:posOffset>
                </wp:positionV>
                <wp:extent cx="7991475" cy="3276600"/>
                <wp:effectExtent l="0" t="0" r="952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91475" cy="3276600"/>
                        </a:xfrm>
                        <a:prstGeom prst="rect">
                          <a:avLst/>
                        </a:prstGeom>
                        <a:gradFill>
                          <a:gsLst>
                            <a:gs pos="3000">
                              <a:srgbClr val="296393"/>
                            </a:gs>
                            <a:gs pos="71000">
                              <a:srgbClr val="1BA5C2"/>
                            </a:gs>
                          </a:gsLst>
                          <a:lin ang="0" scaled="1"/>
                        </a:gradFill>
                        <a:ln w="9525">
                          <a:noFill/>
                          <a:miter lim="800000"/>
                          <a:headEnd/>
                          <a:tailEnd/>
                        </a:ln>
                      </wps:spPr>
                      <wps:txbx>
                        <w:txbxContent>
                          <w:p w14:paraId="361249DE" w14:textId="77777777" w:rsidR="000E6F3E" w:rsidRDefault="000E6F3E" w:rsidP="000E6F3E">
                            <w:pPr>
                              <w:rPr>
                                <w:rFonts w:cs="Arial"/>
                                <w:b/>
                                <w:bCs/>
                                <w:color w:val="FFFFFF" w:themeColor="background1"/>
                                <w:sz w:val="72"/>
                                <w:szCs w:val="96"/>
                              </w:rPr>
                            </w:pPr>
                          </w:p>
                          <w:p w14:paraId="76A88C42" w14:textId="33FB024A" w:rsidR="000E6F3E" w:rsidRDefault="000E6F3E" w:rsidP="000E6F3E">
                            <w:pPr>
                              <w:rPr>
                                <w:rFonts w:cs="Arial"/>
                                <w:b/>
                                <w:bCs/>
                                <w:color w:val="FFFFFF" w:themeColor="background1"/>
                                <w:sz w:val="72"/>
                                <w:szCs w:val="96"/>
                              </w:rPr>
                            </w:pPr>
                          </w:p>
                          <w:p w14:paraId="3B19AC2C" w14:textId="77777777" w:rsidR="000E6F3E" w:rsidRDefault="000E6F3E" w:rsidP="000E6F3E">
                            <w:pPr>
                              <w:rPr>
                                <w:rFonts w:cs="Arial"/>
                                <w:b/>
                                <w:bCs/>
                                <w:color w:val="FFFFFF" w:themeColor="background1"/>
                                <w:sz w:val="72"/>
                                <w:szCs w:val="96"/>
                              </w:rPr>
                            </w:pPr>
                          </w:p>
                          <w:p w14:paraId="62EEF8E9" w14:textId="77777777" w:rsidR="000E6F3E" w:rsidRPr="007630A5" w:rsidRDefault="000E6F3E" w:rsidP="000E6F3E">
                            <w:pPr>
                              <w:rPr>
                                <w:b/>
                                <w:b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BDC37F" id="Text Box 2" o:spid="_x0000_s1027" type="#_x0000_t202" style="position:absolute;left:0;text-align:left;margin-left:-33pt;margin-top:-71.35pt;width:629.25pt;height:258pt;z-index:25168332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" fillcolor="#296393" stroked="f">
                <v:fill color2="#1ba5c2" angle="90" colors="0 #296393;1966f #296393" focus="100%" type="gradient"/>
                <v:textbox>
                  <w:txbxContent>
                    <w:p w14:paraId="361249DE" w14:textId="77777777" w:rsidR="000E6F3E" w:rsidRDefault="000E6F3E" w:rsidP="000E6F3E">
                      <w:pPr>
                        <w:rPr>
                          <w:rFonts w:cs="Arial"/>
                          <w:b/>
                          <w:bCs/>
                          <w:color w:val="FFFFFF" w:themeColor="background1"/>
                          <w:sz w:val="72"/>
                          <w:szCs w:val="96"/>
                        </w:rPr>
                      </w:pPr>
                    </w:p>
                    <w:p w14:paraId="76A88C42" w14:textId="33FB024A" w:rsidR="000E6F3E" w:rsidRDefault="000E6F3E" w:rsidP="000E6F3E">
                      <w:pPr>
                        <w:rPr>
                          <w:rFonts w:cs="Arial"/>
                          <w:b/>
                          <w:bCs/>
                          <w:color w:val="FFFFFF" w:themeColor="background1"/>
                          <w:sz w:val="72"/>
                          <w:szCs w:val="96"/>
                        </w:rPr>
                      </w:pPr>
                    </w:p>
                    <w:p w14:paraId="3B19AC2C" w14:textId="77777777" w:rsidR="000E6F3E" w:rsidRDefault="000E6F3E" w:rsidP="000E6F3E">
                      <w:pPr>
                        <w:rPr>
                          <w:rFonts w:cs="Arial"/>
                          <w:b/>
                          <w:bCs/>
                          <w:color w:val="FFFFFF" w:themeColor="background1"/>
                          <w:sz w:val="72"/>
                          <w:szCs w:val="96"/>
                        </w:rPr>
                      </w:pPr>
                    </w:p>
                    <w:p w14:paraId="62EEF8E9" w14:textId="77777777" w:rsidR="000E6F3E" w:rsidRPr="007630A5" w:rsidRDefault="000E6F3E" w:rsidP="000E6F3E">
                      <w:pPr>
                        <w:rPr>
                          <w:b/>
                          <w:bCs/>
                        </w:rPr>
                      </w:pPr>
                    </w:p>
                  </w:txbxContent>
                </v:textbox>
                <w10:wrap anchorx="page"/>
              </v:shape>
            </w:pict>
          </mc:Fallback>
        </mc:AlternateContent>
      </w:r>
      <w:r w:rsidR="00C60A49">
        <w:rPr>
          <w:noProof/>
        </w:rPr>
        <w:drawing>
          <wp:anchor distT="0" distB="0" distL="114300" distR="114300" simplePos="0" relativeHeight="251676160" behindDoc="0" locked="0" layoutInCell="1" allowOverlap="1" wp14:anchorId="1E362B84" wp14:editId="34666C8D">
            <wp:simplePos x="0" y="0"/>
            <wp:positionH relativeFrom="column">
              <wp:posOffset>-323850</wp:posOffset>
            </wp:positionH>
            <wp:positionV relativeFrom="paragraph">
              <wp:posOffset>-544195</wp:posOffset>
            </wp:positionV>
            <wp:extent cx="3952875" cy="1845586"/>
            <wp:effectExtent l="0" t="0" r="0" b="2540"/>
            <wp:wrapNone/>
            <wp:docPr id="16" name="Picture 16" descr="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Chart&#10;&#10;Description automatically generated with medium confidence"/>
                    <pic:cNvPicPr/>
                  </pic:nvPicPr>
                  <pic:blipFill>
                    <a:blip r:embed="rId9">
                      <a:extLst>
                        <a:ext uri="{28A0092B-C50C-407E-A947-70E740481C1C}">
                          <a14:useLocalDpi xmlns:a14="http://schemas.microsoft.com/office/drawing/2010/main" val="0"/>
                        </a:ext>
                      </a:extLst>
                    </a:blip>
                    <a:stretch>
                      <a:fillRect/>
                    </a:stretch>
                  </pic:blipFill>
                  <pic:spPr>
                    <a:xfrm>
                      <a:off x="0" y="0"/>
                      <a:ext cx="3952875" cy="1845586"/>
                    </a:xfrm>
                    <a:prstGeom prst="rect">
                      <a:avLst/>
                    </a:prstGeom>
                  </pic:spPr>
                </pic:pic>
              </a:graphicData>
            </a:graphic>
            <wp14:sizeRelH relativeFrom="page">
              <wp14:pctWidth>0</wp14:pctWidth>
            </wp14:sizeRelH>
            <wp14:sizeRelV relativeFrom="page">
              <wp14:pctHeight>0</wp14:pctHeight>
            </wp14:sizeRelV>
          </wp:anchor>
        </w:drawing>
      </w:r>
      <w:r w:rsidR="00C60A49">
        <w:rPr>
          <w:noProof/>
          <w:lang w:val="en-GB" w:eastAsia="en-GB"/>
        </w:rPr>
        <w:drawing>
          <wp:anchor distT="0" distB="0" distL="114300" distR="114300" simplePos="0" relativeHeight="251619840" behindDoc="0" locked="0" layoutInCell="1" allowOverlap="1" wp14:anchorId="4A400DBD" wp14:editId="1732DB16">
            <wp:simplePos x="0" y="0"/>
            <wp:positionH relativeFrom="column">
              <wp:posOffset>-876935</wp:posOffset>
            </wp:positionH>
            <wp:positionV relativeFrom="page">
              <wp:posOffset>-43815</wp:posOffset>
            </wp:positionV>
            <wp:extent cx="7991475" cy="11311890"/>
            <wp:effectExtent l="0" t="0" r="0" b="3810"/>
            <wp:wrapThrough wrapText="bothSides">
              <wp:wrapPolygon edited="0">
                <wp:start x="0" y="0"/>
                <wp:lineTo x="0" y="21583"/>
                <wp:lineTo x="21557" y="21583"/>
                <wp:lineTo x="21557" y="0"/>
                <wp:lineTo x="0" y="0"/>
              </wp:wrapPolygon>
            </wp:wrapThrough>
            <wp:docPr id="3" name="Picture 3" descr="A picture containing text, displ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display&#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7991475" cy="11311890"/>
                    </a:xfrm>
                    <a:prstGeom prst="rect">
                      <a:avLst/>
                    </a:prstGeom>
                  </pic:spPr>
                </pic:pic>
              </a:graphicData>
            </a:graphic>
            <wp14:sizeRelH relativeFrom="page">
              <wp14:pctWidth>0</wp14:pctWidth>
            </wp14:sizeRelH>
            <wp14:sizeRelV relativeFrom="page">
              <wp14:pctHeight>0</wp14:pctHeight>
            </wp14:sizeRelV>
          </wp:anchor>
        </w:drawing>
      </w:r>
    </w:p>
    <w:p w14:paraId="21A3E429" w14:textId="77777777" w:rsidR="00997645" w:rsidRPr="00617B75" w:rsidRDefault="00997645" w:rsidP="00ED63FB">
      <w:pPr>
        <w:pStyle w:val="Heading1"/>
        <w:jc w:val="both"/>
        <w:rPr>
          <w:rFonts w:ascii="Arial" w:hAnsi="Arial" w:cs="Arial"/>
          <w:b/>
          <w:bCs/>
          <w:color w:val="002060"/>
          <w:sz w:val="24"/>
          <w:szCs w:val="24"/>
          <w:lang w:bidi="en-GB"/>
        </w:rPr>
      </w:pPr>
      <w:bookmarkStart w:id="0" w:name="_Hlk124252956"/>
      <w:r w:rsidRPr="00617B75">
        <w:rPr>
          <w:rFonts w:ascii="Arial" w:hAnsi="Arial" w:cs="Arial"/>
          <w:b/>
          <w:bCs/>
          <w:color w:val="002060"/>
          <w:sz w:val="24"/>
          <w:szCs w:val="24"/>
          <w:lang w:bidi="en-GB"/>
        </w:rPr>
        <w:lastRenderedPageBreak/>
        <w:t>EXECUTIVE SUMMARY</w:t>
      </w:r>
    </w:p>
    <w:p w14:paraId="2774CB18" w14:textId="77777777" w:rsidR="00997645" w:rsidRPr="00997645" w:rsidRDefault="00997645" w:rsidP="00ED63FB">
      <w:pPr>
        <w:jc w:val="both"/>
        <w:rPr>
          <w:rFonts w:ascii="Arial" w:hAnsi="Arial" w:cs="Arial"/>
          <w:color w:val="193962"/>
          <w:lang w:bidi="en-GB"/>
        </w:rPr>
      </w:pPr>
    </w:p>
    <w:p w14:paraId="46A01529" w14:textId="77777777" w:rsidR="00997645" w:rsidRPr="00997645" w:rsidRDefault="00997645" w:rsidP="00ED63FB">
      <w:pPr>
        <w:jc w:val="both"/>
        <w:rPr>
          <w:rFonts w:ascii="Arial" w:hAnsi="Arial" w:cs="Arial"/>
          <w:color w:val="193962"/>
          <w:lang w:bidi="en-GB"/>
        </w:rPr>
      </w:pPr>
      <w:r w:rsidRPr="00997645">
        <w:rPr>
          <w:rFonts w:ascii="Arial" w:hAnsi="Arial" w:cs="Arial"/>
          <w:color w:val="193962"/>
          <w:lang w:bidi="en-GB"/>
        </w:rPr>
        <w:t>Urgent Primary Care (UPC) services have  faced  significant challenges during the pandemic and at the same time moved  at pace to create services to help meet  unprecedented  demand  on the service. The enthusiasm, resilience and sheer determination demonstrated by front line staff to maintain delivery of services has been exemplary and the innovation and pace of change has been remarkable.</w:t>
      </w:r>
    </w:p>
    <w:p w14:paraId="06589DA4" w14:textId="2284958F" w:rsidR="00997645" w:rsidRPr="00997645" w:rsidRDefault="00997645" w:rsidP="00ED63FB">
      <w:pPr>
        <w:jc w:val="both"/>
        <w:rPr>
          <w:rFonts w:ascii="Arial" w:hAnsi="Arial" w:cs="Arial"/>
          <w:color w:val="193962"/>
          <w:lang w:bidi="en-GB"/>
        </w:rPr>
      </w:pPr>
    </w:p>
    <w:p w14:paraId="10A44498" w14:textId="77777777" w:rsidR="00997645" w:rsidRPr="00997645" w:rsidRDefault="00997645" w:rsidP="00ED63FB">
      <w:pPr>
        <w:jc w:val="both"/>
        <w:rPr>
          <w:rFonts w:ascii="Arial" w:hAnsi="Arial" w:cs="Arial"/>
          <w:color w:val="193962"/>
          <w:lang w:bidi="en-GB"/>
        </w:rPr>
      </w:pPr>
      <w:r w:rsidRPr="00997645">
        <w:rPr>
          <w:rFonts w:ascii="Arial" w:hAnsi="Arial" w:cs="Arial"/>
          <w:color w:val="193962"/>
          <w:lang w:bidi="en-GB"/>
        </w:rPr>
        <w:t>This round of peer reviews was at the request of Clinical and Operational leads and for the first time included a focus on out-of- hours, urgent primary care centres (and associated  services)  and the national 111 service. Each Local Health Board and the Welsh Ambulance Services Trust has received their own individual  summary report and action plan which has been supported and agreed by their local Executive Lead and Chair or Vice Chair of the Board.</w:t>
      </w:r>
    </w:p>
    <w:p w14:paraId="08E82E8C" w14:textId="77777777" w:rsidR="00997645" w:rsidRPr="00997645" w:rsidRDefault="00997645" w:rsidP="00ED63FB">
      <w:pPr>
        <w:jc w:val="both"/>
        <w:rPr>
          <w:rFonts w:ascii="Arial" w:hAnsi="Arial" w:cs="Arial"/>
          <w:color w:val="193962"/>
          <w:lang w:bidi="en-GB"/>
        </w:rPr>
      </w:pPr>
    </w:p>
    <w:p w14:paraId="4E4E7498" w14:textId="77777777" w:rsidR="00997645" w:rsidRPr="00997645" w:rsidRDefault="00997645" w:rsidP="00ED63FB">
      <w:pPr>
        <w:jc w:val="both"/>
        <w:rPr>
          <w:rFonts w:ascii="Arial" w:hAnsi="Arial" w:cs="Arial"/>
          <w:color w:val="193962"/>
          <w:lang w:bidi="en-GB"/>
        </w:rPr>
      </w:pPr>
      <w:r w:rsidRPr="00997645">
        <w:rPr>
          <w:rFonts w:ascii="Arial" w:hAnsi="Arial" w:cs="Arial"/>
          <w:color w:val="193962"/>
          <w:lang w:bidi="en-GB"/>
        </w:rPr>
        <w:t>It became clear throughout the reviews that there is a need for increased focus on delivering consistent Urgent Care Services regardless of time of day and /or whether it’s a weekday or weekend. There are significant opportunities across the wider Urgent and Emergency Care system if we can get this right, as currently the most significant challenges remain from late evenings and overnights (weekends) where senior clinical cover is at a premium, the demand remains significantly high, and patients can often wait for extended periods of time on a ‘virtual’ list without any follow-up face-to-face intervention or review. Conversely, with wider multi-disciplinary team (MDT) input and a corralling of support services matched to demand pressures (and an integrated IT  system), there is the potential to deliver a truly integrated 24/7 Urgent Primary Care Service for patients in Wales.</w:t>
      </w:r>
    </w:p>
    <w:p w14:paraId="32DBCCDA" w14:textId="77777777" w:rsidR="00997645" w:rsidRPr="00997645" w:rsidRDefault="00997645" w:rsidP="00ED63FB">
      <w:pPr>
        <w:jc w:val="both"/>
        <w:rPr>
          <w:rFonts w:ascii="Arial" w:hAnsi="Arial" w:cs="Arial"/>
          <w:color w:val="193962"/>
          <w:lang w:bidi="en-GB"/>
        </w:rPr>
      </w:pPr>
    </w:p>
    <w:p w14:paraId="354E94AC" w14:textId="77777777" w:rsidR="00997645" w:rsidRPr="00997645" w:rsidRDefault="00997645" w:rsidP="00ED63FB">
      <w:pPr>
        <w:jc w:val="both"/>
        <w:rPr>
          <w:rFonts w:ascii="Arial" w:hAnsi="Arial" w:cs="Arial"/>
          <w:color w:val="193962"/>
          <w:lang w:bidi="en-GB"/>
        </w:rPr>
      </w:pPr>
      <w:r w:rsidRPr="00997645">
        <w:rPr>
          <w:rFonts w:ascii="Arial" w:hAnsi="Arial" w:cs="Arial"/>
          <w:color w:val="193962"/>
          <w:lang w:bidi="en-GB"/>
        </w:rPr>
        <w:t>Many of the building blocks are already in place and we noted some exemplar services which are delivering a pre-hospital-based model via an MDT approach which are appropriately managing patients within their own homes and communities and taking pressures away from over-stretched Emergency Departments, 999 and primary care services.</w:t>
      </w:r>
    </w:p>
    <w:p w14:paraId="22AA5D48" w14:textId="77777777" w:rsidR="00997645" w:rsidRPr="00997645" w:rsidRDefault="00997645" w:rsidP="00ED63FB">
      <w:pPr>
        <w:jc w:val="both"/>
        <w:rPr>
          <w:rFonts w:ascii="Arial" w:hAnsi="Arial" w:cs="Arial"/>
          <w:color w:val="193962"/>
          <w:lang w:bidi="en-GB"/>
        </w:rPr>
      </w:pPr>
    </w:p>
    <w:p w14:paraId="7CC961FA" w14:textId="77777777" w:rsidR="00997645" w:rsidRPr="00997645" w:rsidRDefault="00997645" w:rsidP="00ED63FB">
      <w:pPr>
        <w:jc w:val="both"/>
        <w:rPr>
          <w:rFonts w:ascii="Arial" w:hAnsi="Arial" w:cs="Arial"/>
          <w:color w:val="193962"/>
          <w:lang w:bidi="en-GB"/>
        </w:rPr>
      </w:pPr>
      <w:r w:rsidRPr="00997645">
        <w:rPr>
          <w:rFonts w:ascii="Arial" w:hAnsi="Arial" w:cs="Arial"/>
          <w:color w:val="193962"/>
          <w:lang w:bidi="en-GB"/>
        </w:rPr>
        <w:t>Inclusion of the 111 service in the reviews was timely following the completion of the full roll out across Wales in March 2022. This ensured that many aspects of the patient’s journey within Urgent Primary Care were captured and reviewed. External input from  NHS24 Scotland also greatly supported this process along with expertise from local clinical and operational leads. Some exciting opportunities for the future of 111 and the interface with urgent primary care have been consider along with a and the potential impact on workforce. The reviews also identified some excellent examples of flexible and dynamic approaches to meet the recent demand increases and business continuity issues  affecting  the service and these have been highlighted. It is perhaps not surprising that many of the key themes detailed within this document are applicable for 111, urgent primary care, community-based  services and both in-hours and out of hours delivery. Patient safety, the appropriate management of clinical risk and ensuring the right outcome first time were all common messages from staff.</w:t>
      </w:r>
    </w:p>
    <w:p w14:paraId="54C0B752" w14:textId="77777777" w:rsidR="00997645" w:rsidRPr="00997645" w:rsidRDefault="00997645" w:rsidP="00ED63FB">
      <w:pPr>
        <w:jc w:val="both"/>
        <w:rPr>
          <w:rFonts w:ascii="Arial" w:hAnsi="Arial" w:cs="Arial"/>
          <w:color w:val="193962"/>
          <w:lang w:bidi="en-GB"/>
        </w:rPr>
      </w:pPr>
    </w:p>
    <w:p w14:paraId="0045963E" w14:textId="5FDCB1B1" w:rsidR="00997645" w:rsidRPr="00BF368F" w:rsidRDefault="00997645" w:rsidP="00ED63FB">
      <w:pPr>
        <w:pStyle w:val="Heading2"/>
        <w:numPr>
          <w:ilvl w:val="0"/>
          <w:numId w:val="3"/>
        </w:numPr>
        <w:jc w:val="both"/>
        <w:rPr>
          <w:rFonts w:ascii="Arial" w:hAnsi="Arial" w:cs="Arial"/>
          <w:b/>
          <w:bCs/>
          <w:color w:val="002060"/>
          <w:sz w:val="24"/>
          <w:szCs w:val="24"/>
          <w:lang w:bidi="en-GB"/>
        </w:rPr>
      </w:pPr>
      <w:r w:rsidRPr="00BF368F">
        <w:rPr>
          <w:rFonts w:ascii="Arial" w:hAnsi="Arial" w:cs="Arial"/>
          <w:b/>
          <w:bCs/>
          <w:color w:val="002060"/>
          <w:sz w:val="24"/>
          <w:szCs w:val="24"/>
          <w:lang w:bidi="en-GB"/>
        </w:rPr>
        <w:t>Escalation and Patient Safety</w:t>
      </w:r>
    </w:p>
    <w:p w14:paraId="08A166A6" w14:textId="77777777" w:rsidR="00997645" w:rsidRPr="00997645" w:rsidRDefault="00997645" w:rsidP="00ED63FB">
      <w:pPr>
        <w:jc w:val="both"/>
        <w:rPr>
          <w:rFonts w:ascii="Arial" w:hAnsi="Arial" w:cs="Arial"/>
          <w:color w:val="193962"/>
          <w:lang w:bidi="en-GB"/>
        </w:rPr>
      </w:pPr>
    </w:p>
    <w:p w14:paraId="1EF94E2D" w14:textId="001E9471" w:rsidR="00CD2DAC" w:rsidRPr="00997645" w:rsidRDefault="00997645" w:rsidP="00ED63FB">
      <w:pPr>
        <w:jc w:val="both"/>
        <w:rPr>
          <w:rFonts w:ascii="Arial" w:hAnsi="Arial" w:cs="Arial"/>
          <w:color w:val="193962"/>
          <w:lang w:bidi="en-GB"/>
        </w:rPr>
      </w:pPr>
      <w:r w:rsidRPr="00997645">
        <w:rPr>
          <w:rFonts w:ascii="Arial" w:hAnsi="Arial" w:cs="Arial"/>
          <w:color w:val="193962"/>
          <w:lang w:bidi="en-GB"/>
        </w:rPr>
        <w:t>It is vitally important for organisations to understand the levels of escalation across their systems as a whole and it was encouraging to see the establishment of the Primary &amp; Community escalation framework being progressed and given equal prominence to Secondary Care escalation. Understanding the clinical risk of a build- up of pressures within the pre-hospital services including 111, OOHs, UPC services (and GMS) should increasingly provide the ‘early warning’ signs before the inevitable challenges for 999 and ED. Equally, managing the clinical risks associated with a virtual queue within Urgent Primary Care needs to be given equal priority as that of an overcrowded Emergency Department (ED) waiting room. Reporting (and recording on Health Board risk registers) and increasing visibility of the level of escalation via a single dashboard across the whole system including 999, 111, ED, Out of Hours (OOH), UPC and General Medical Services (GMS) should be considered.</w:t>
      </w:r>
    </w:p>
    <w:p w14:paraId="14C7146A" w14:textId="77777777" w:rsidR="00997645" w:rsidRPr="00997645" w:rsidRDefault="00997645" w:rsidP="00ED63FB">
      <w:pPr>
        <w:jc w:val="both"/>
        <w:rPr>
          <w:rFonts w:ascii="Arial" w:hAnsi="Arial" w:cs="Arial"/>
          <w:color w:val="193962"/>
          <w:lang w:bidi="en-GB"/>
        </w:rPr>
      </w:pPr>
    </w:p>
    <w:p w14:paraId="3466E902" w14:textId="59DB5C8A" w:rsidR="00997645" w:rsidRPr="00BF368F" w:rsidRDefault="00997645" w:rsidP="00ED63FB">
      <w:pPr>
        <w:pStyle w:val="Heading2"/>
        <w:numPr>
          <w:ilvl w:val="0"/>
          <w:numId w:val="3"/>
        </w:numPr>
        <w:jc w:val="both"/>
        <w:rPr>
          <w:rFonts w:ascii="Arial" w:hAnsi="Arial" w:cs="Arial"/>
          <w:b/>
          <w:bCs/>
          <w:color w:val="002060"/>
          <w:sz w:val="24"/>
          <w:szCs w:val="24"/>
          <w:lang w:bidi="en-GB"/>
        </w:rPr>
      </w:pPr>
      <w:r w:rsidRPr="00BF368F">
        <w:rPr>
          <w:rFonts w:ascii="Arial" w:hAnsi="Arial" w:cs="Arial"/>
          <w:b/>
          <w:bCs/>
          <w:color w:val="002060"/>
          <w:sz w:val="24"/>
          <w:szCs w:val="24"/>
          <w:lang w:bidi="en-GB"/>
        </w:rPr>
        <w:t>Workforce Sustainability</w:t>
      </w:r>
    </w:p>
    <w:p w14:paraId="6B05C049" w14:textId="77777777" w:rsidR="00997645" w:rsidRPr="00997645" w:rsidRDefault="00997645" w:rsidP="00ED63FB">
      <w:pPr>
        <w:jc w:val="both"/>
        <w:rPr>
          <w:rFonts w:ascii="Arial" w:hAnsi="Arial" w:cs="Arial"/>
          <w:color w:val="193962"/>
          <w:lang w:bidi="en-GB"/>
        </w:rPr>
      </w:pPr>
    </w:p>
    <w:p w14:paraId="56AEAECF" w14:textId="77777777" w:rsidR="00997645" w:rsidRPr="00997645" w:rsidRDefault="00997645" w:rsidP="00ED63FB">
      <w:pPr>
        <w:jc w:val="both"/>
        <w:rPr>
          <w:rFonts w:ascii="Arial" w:hAnsi="Arial" w:cs="Arial"/>
          <w:color w:val="193962"/>
          <w:lang w:bidi="en-GB"/>
        </w:rPr>
      </w:pPr>
      <w:r w:rsidRPr="00997645">
        <w:rPr>
          <w:rFonts w:ascii="Arial" w:hAnsi="Arial" w:cs="Arial"/>
          <w:color w:val="193962"/>
          <w:lang w:bidi="en-GB"/>
        </w:rPr>
        <w:t xml:space="preserve">The challenge of workforce sustainability, particularly  the  Senior Clinical workforce was a common theme across most of the peer reviews and was not particular to individual services. Individual teams however have been creative in terms of how they have utilised a wider multi-disciplinary team, looked at staff rotation, salaried posts and wider training /education initiatives to both recruit and retain staffing levels. Conversely, development </w:t>
      </w:r>
      <w:r w:rsidRPr="00997645">
        <w:rPr>
          <w:rFonts w:ascii="Arial" w:hAnsi="Arial" w:cs="Arial"/>
          <w:color w:val="193962"/>
          <w:lang w:bidi="en-GB"/>
        </w:rPr>
        <w:lastRenderedPageBreak/>
        <w:t>of services in isolation or placing multiple additional service requests onto an already stretched core service simply results in clinicians looking for opportunities  where  there is less clinical risk or greater clinical autonomy and  job  satisfaction and we noted examples of all the above (noting the pressures of COVID, unplanned bank holidays and a significant and ongoing business continuity challenge from lack of IT infrastructure). Workforce plans need to be integrated and linked both locally and nationally.</w:t>
      </w:r>
    </w:p>
    <w:p w14:paraId="06752E38" w14:textId="77777777" w:rsidR="00997645" w:rsidRPr="00997645" w:rsidRDefault="00997645" w:rsidP="00ED63FB">
      <w:pPr>
        <w:jc w:val="both"/>
        <w:rPr>
          <w:rFonts w:ascii="Arial" w:hAnsi="Arial" w:cs="Arial"/>
          <w:color w:val="193962"/>
          <w:lang w:bidi="en-GB"/>
        </w:rPr>
      </w:pPr>
    </w:p>
    <w:p w14:paraId="587AC6DA" w14:textId="7A210722" w:rsidR="00997645" w:rsidRPr="00BF368F" w:rsidRDefault="00997645" w:rsidP="00ED63FB">
      <w:pPr>
        <w:pStyle w:val="Heading2"/>
        <w:numPr>
          <w:ilvl w:val="0"/>
          <w:numId w:val="3"/>
        </w:numPr>
        <w:jc w:val="both"/>
        <w:rPr>
          <w:rFonts w:ascii="Arial" w:hAnsi="Arial" w:cs="Arial"/>
          <w:b/>
          <w:bCs/>
          <w:color w:val="002060"/>
          <w:sz w:val="24"/>
          <w:szCs w:val="24"/>
          <w:lang w:bidi="en-GB"/>
        </w:rPr>
      </w:pPr>
      <w:r w:rsidRPr="00BF368F">
        <w:rPr>
          <w:rFonts w:ascii="Arial" w:hAnsi="Arial" w:cs="Arial"/>
          <w:b/>
          <w:bCs/>
          <w:color w:val="002060"/>
          <w:sz w:val="24"/>
          <w:szCs w:val="24"/>
          <w:lang w:bidi="en-GB"/>
        </w:rPr>
        <w:t>Demand and Capacity</w:t>
      </w:r>
    </w:p>
    <w:p w14:paraId="792B6EFC" w14:textId="77777777" w:rsidR="00997645" w:rsidRPr="00997645" w:rsidRDefault="00997645" w:rsidP="00ED63FB">
      <w:pPr>
        <w:jc w:val="both"/>
        <w:rPr>
          <w:rFonts w:ascii="Arial" w:hAnsi="Arial" w:cs="Arial"/>
          <w:color w:val="193962"/>
          <w:lang w:bidi="en-GB"/>
        </w:rPr>
      </w:pPr>
    </w:p>
    <w:p w14:paraId="124DB8EE" w14:textId="77777777" w:rsidR="00997645" w:rsidRPr="00997645" w:rsidRDefault="00997645" w:rsidP="00ED63FB">
      <w:pPr>
        <w:jc w:val="both"/>
        <w:rPr>
          <w:rFonts w:ascii="Arial" w:hAnsi="Arial" w:cs="Arial"/>
          <w:color w:val="193962"/>
          <w:lang w:bidi="en-GB"/>
        </w:rPr>
      </w:pPr>
      <w:r w:rsidRPr="00997645">
        <w:rPr>
          <w:rFonts w:ascii="Arial" w:hAnsi="Arial" w:cs="Arial"/>
          <w:color w:val="193962"/>
          <w:lang w:bidi="en-GB"/>
        </w:rPr>
        <w:t>This remains a recurrent theme, noting the significant demand  variations between weekdays and weekend. Some LHBs have recently built very impressive analytical tools (e.g. CTM) to now predict the staffing requirements to time of the day (often by the hour) and there    is a clear understanding with OOH Teams of the importance  of  this work.</w:t>
      </w:r>
    </w:p>
    <w:p w14:paraId="4ABC2DD8" w14:textId="77777777" w:rsidR="00997645" w:rsidRPr="00997645" w:rsidRDefault="00997645" w:rsidP="00ED63FB">
      <w:pPr>
        <w:jc w:val="both"/>
        <w:rPr>
          <w:rFonts w:ascii="Arial" w:hAnsi="Arial" w:cs="Arial"/>
          <w:color w:val="193962"/>
          <w:lang w:bidi="en-GB"/>
        </w:rPr>
      </w:pPr>
    </w:p>
    <w:p w14:paraId="303797D4" w14:textId="77777777" w:rsidR="00997645" w:rsidRPr="00997645" w:rsidRDefault="00997645" w:rsidP="00ED63FB">
      <w:pPr>
        <w:jc w:val="both"/>
        <w:rPr>
          <w:rFonts w:ascii="Arial" w:hAnsi="Arial" w:cs="Arial"/>
          <w:color w:val="193962"/>
          <w:lang w:bidi="en-GB"/>
        </w:rPr>
      </w:pPr>
      <w:r w:rsidRPr="00997645">
        <w:rPr>
          <w:rFonts w:ascii="Arial" w:hAnsi="Arial" w:cs="Arial"/>
          <w:color w:val="193962"/>
          <w:lang w:bidi="en-GB"/>
        </w:rPr>
        <w:t>Unfortunately there remains a propensity across most areas of Urgent Primary Care to focus on a Monday-Friday service, therefore the priority over the next 12 months should be a focus on consistency of services offered over 7 days (ideally 24/7) and if any service expansion is considered, the first question to pose is 'how will the service improve patient access from Friday pm to Monday pm along with step increases in resources at weekends'.</w:t>
      </w:r>
    </w:p>
    <w:p w14:paraId="5FC86A1E" w14:textId="77777777" w:rsidR="00997645" w:rsidRPr="00997645" w:rsidRDefault="00997645" w:rsidP="00ED63FB">
      <w:pPr>
        <w:jc w:val="both"/>
        <w:rPr>
          <w:rFonts w:ascii="Arial" w:hAnsi="Arial" w:cs="Arial"/>
          <w:color w:val="193962"/>
          <w:lang w:bidi="en-GB"/>
        </w:rPr>
      </w:pPr>
    </w:p>
    <w:p w14:paraId="269BF364" w14:textId="3DCFC078" w:rsidR="00997645" w:rsidRPr="00BF368F" w:rsidRDefault="00997645" w:rsidP="00ED63FB">
      <w:pPr>
        <w:pStyle w:val="Heading2"/>
        <w:numPr>
          <w:ilvl w:val="0"/>
          <w:numId w:val="3"/>
        </w:numPr>
        <w:jc w:val="both"/>
        <w:rPr>
          <w:rFonts w:ascii="Arial" w:hAnsi="Arial" w:cs="Arial"/>
          <w:b/>
          <w:bCs/>
          <w:color w:val="002060"/>
          <w:sz w:val="24"/>
          <w:szCs w:val="24"/>
          <w:lang w:bidi="en-GB"/>
        </w:rPr>
      </w:pPr>
      <w:r w:rsidRPr="00BF368F">
        <w:rPr>
          <w:rFonts w:ascii="Arial" w:hAnsi="Arial" w:cs="Arial"/>
          <w:b/>
          <w:bCs/>
          <w:color w:val="002060"/>
          <w:sz w:val="24"/>
          <w:szCs w:val="24"/>
          <w:lang w:bidi="en-GB"/>
        </w:rPr>
        <w:t>Urgent Primary Care Centre and Models</w:t>
      </w:r>
    </w:p>
    <w:p w14:paraId="47D50BC9" w14:textId="77777777" w:rsidR="00997645" w:rsidRPr="00997645" w:rsidRDefault="00997645" w:rsidP="00ED63FB">
      <w:pPr>
        <w:jc w:val="both"/>
        <w:rPr>
          <w:rFonts w:ascii="Arial" w:hAnsi="Arial" w:cs="Arial"/>
          <w:color w:val="193962"/>
          <w:lang w:bidi="en-GB"/>
        </w:rPr>
      </w:pPr>
    </w:p>
    <w:p w14:paraId="5331EA4C" w14:textId="77777777" w:rsidR="00997645" w:rsidRPr="00997645" w:rsidRDefault="00997645" w:rsidP="00ED63FB">
      <w:pPr>
        <w:jc w:val="both"/>
        <w:rPr>
          <w:rFonts w:ascii="Arial" w:hAnsi="Arial" w:cs="Arial"/>
          <w:color w:val="193962"/>
          <w:lang w:bidi="en-GB"/>
        </w:rPr>
      </w:pPr>
      <w:r w:rsidRPr="00997645">
        <w:rPr>
          <w:rFonts w:ascii="Arial" w:hAnsi="Arial" w:cs="Arial"/>
          <w:color w:val="193962"/>
          <w:lang w:bidi="en-GB"/>
        </w:rPr>
        <w:t>Over the last 2 years every LHB in Wales has invested time and effort in establishing Urgent Primary Care Centres aimed at improving support to GMS practices but also to redirect urgent care that would otherwise potentially end up in OOHs or ED.</w:t>
      </w:r>
    </w:p>
    <w:p w14:paraId="3CF63C01" w14:textId="77777777" w:rsidR="00997645" w:rsidRPr="00997645" w:rsidRDefault="00997645" w:rsidP="00ED63FB">
      <w:pPr>
        <w:jc w:val="both"/>
        <w:rPr>
          <w:rFonts w:ascii="Arial" w:hAnsi="Arial" w:cs="Arial"/>
          <w:color w:val="193962"/>
          <w:lang w:bidi="en-GB"/>
        </w:rPr>
      </w:pPr>
    </w:p>
    <w:p w14:paraId="4D68B666" w14:textId="77777777" w:rsidR="00997645" w:rsidRPr="00997645" w:rsidRDefault="00997645" w:rsidP="00ED63FB">
      <w:pPr>
        <w:jc w:val="both"/>
        <w:rPr>
          <w:rFonts w:ascii="Arial" w:hAnsi="Arial" w:cs="Arial"/>
          <w:color w:val="193962"/>
          <w:lang w:bidi="en-GB"/>
        </w:rPr>
      </w:pPr>
      <w:r w:rsidRPr="00997645">
        <w:rPr>
          <w:rFonts w:ascii="Arial" w:hAnsi="Arial" w:cs="Arial"/>
          <w:color w:val="193962"/>
          <w:lang w:bidi="en-GB"/>
        </w:rPr>
        <w:t>Deliberately, LHBs have been given the flexibility to  ensure  that  models are progressed to meet local needs resulting in  some  developed very specifically to a small cluster and others to a wider locality level. It is crucial that these models of care are reviewed to ensure they are delivering against the original intended outcomes. The emerging exemplar model is one which is integrated with UPC OOH, co-located with Same Day Emergency Care (SDEC), ED  and  Minor  Injury Unit (MIU) and has a take from GMS, 111, ED, 999 and MIU. A national set of standards and Key Performance Indicators (KPI) should be developed to guide future developments; integration  of  funding may be required and should be also considered.</w:t>
      </w:r>
    </w:p>
    <w:p w14:paraId="452A3E32" w14:textId="77777777" w:rsidR="00997645" w:rsidRPr="00997645" w:rsidRDefault="00997645" w:rsidP="00ED63FB">
      <w:pPr>
        <w:jc w:val="both"/>
        <w:rPr>
          <w:rFonts w:ascii="Arial" w:hAnsi="Arial" w:cs="Arial"/>
          <w:color w:val="193962"/>
          <w:lang w:bidi="en-GB"/>
        </w:rPr>
      </w:pPr>
    </w:p>
    <w:p w14:paraId="00A0E786" w14:textId="282ABAFD" w:rsidR="00997645" w:rsidRPr="00BF368F" w:rsidRDefault="00997645" w:rsidP="00ED63FB">
      <w:pPr>
        <w:pStyle w:val="Heading2"/>
        <w:numPr>
          <w:ilvl w:val="0"/>
          <w:numId w:val="3"/>
        </w:numPr>
        <w:jc w:val="both"/>
        <w:rPr>
          <w:rFonts w:ascii="Arial" w:hAnsi="Arial" w:cs="Arial"/>
          <w:b/>
          <w:bCs/>
          <w:color w:val="002060"/>
          <w:sz w:val="24"/>
          <w:szCs w:val="24"/>
          <w:lang w:bidi="en-GB"/>
        </w:rPr>
      </w:pPr>
      <w:r w:rsidRPr="00BF368F">
        <w:rPr>
          <w:rFonts w:ascii="Arial" w:hAnsi="Arial" w:cs="Arial"/>
          <w:b/>
          <w:bCs/>
          <w:color w:val="002060"/>
          <w:sz w:val="24"/>
          <w:szCs w:val="24"/>
          <w:lang w:bidi="en-GB"/>
        </w:rPr>
        <w:t>Community Services</w:t>
      </w:r>
    </w:p>
    <w:p w14:paraId="37DEAD9D" w14:textId="77777777" w:rsidR="00997645" w:rsidRPr="00997645" w:rsidRDefault="00997645" w:rsidP="00ED63FB">
      <w:pPr>
        <w:jc w:val="both"/>
        <w:rPr>
          <w:rFonts w:ascii="Arial" w:hAnsi="Arial" w:cs="Arial"/>
          <w:color w:val="193962"/>
          <w:lang w:bidi="en-GB"/>
        </w:rPr>
      </w:pPr>
    </w:p>
    <w:p w14:paraId="011E9898" w14:textId="24483362" w:rsidR="00997645" w:rsidRPr="00997645" w:rsidRDefault="00997645" w:rsidP="00ED63FB">
      <w:pPr>
        <w:jc w:val="both"/>
        <w:rPr>
          <w:rFonts w:ascii="Arial" w:hAnsi="Arial" w:cs="Arial"/>
          <w:color w:val="193962"/>
          <w:lang w:bidi="en-GB"/>
        </w:rPr>
      </w:pPr>
      <w:r w:rsidRPr="00997645">
        <w:rPr>
          <w:rFonts w:ascii="Arial" w:hAnsi="Arial" w:cs="Arial"/>
          <w:color w:val="193962"/>
          <w:lang w:bidi="en-GB"/>
        </w:rPr>
        <w:t>It is clear that provision of Community Services and links between UPC in and OOH are vital for service sustainability, and to be able to keep patients safe close to home as an alternative to hospital admission. It is also apparent from the reviews that these services are not in place    24/7 in all Health Boards. It is recommended that the service “dipstick test”, is reviewed, updated and renewed this year, with its outcomes considered nationally and with an initial focus on provision of a consistent response for palliative care patients 24/7.</w:t>
      </w:r>
    </w:p>
    <w:p w14:paraId="0DD0B253" w14:textId="6B3BE664" w:rsidR="00997645" w:rsidRPr="00BF368F" w:rsidRDefault="00997645" w:rsidP="00ED63FB">
      <w:pPr>
        <w:pStyle w:val="Heading1"/>
        <w:jc w:val="both"/>
        <w:rPr>
          <w:rFonts w:ascii="Arial" w:hAnsi="Arial" w:cs="Arial"/>
          <w:b/>
          <w:bCs/>
          <w:color w:val="002060"/>
          <w:sz w:val="24"/>
          <w:szCs w:val="24"/>
          <w:lang w:val="en-GB"/>
        </w:rPr>
      </w:pPr>
      <w:r w:rsidRPr="00BF368F">
        <w:rPr>
          <w:rFonts w:ascii="Arial" w:hAnsi="Arial" w:cs="Arial"/>
          <w:b/>
          <w:bCs/>
          <w:color w:val="002060"/>
          <w:sz w:val="24"/>
          <w:szCs w:val="24"/>
          <w:lang w:val="en-GB"/>
        </w:rPr>
        <w:t>CONCLUSION</w:t>
      </w:r>
      <w:r w:rsidR="00BF368F">
        <w:rPr>
          <w:rFonts w:ascii="Arial" w:hAnsi="Arial" w:cs="Arial"/>
          <w:b/>
          <w:bCs/>
          <w:color w:val="002060"/>
          <w:sz w:val="24"/>
          <w:szCs w:val="24"/>
          <w:lang w:val="en-GB"/>
        </w:rPr>
        <w:br/>
      </w:r>
    </w:p>
    <w:p w14:paraId="7AFDA52E" w14:textId="1EAE92CC" w:rsidR="003E4703" w:rsidRPr="00BF368F" w:rsidRDefault="00997645" w:rsidP="00ED63FB">
      <w:pPr>
        <w:jc w:val="both"/>
        <w:rPr>
          <w:rFonts w:ascii="Arial" w:hAnsi="Arial" w:cs="Arial"/>
          <w:color w:val="193962"/>
          <w:lang w:bidi="en-GB"/>
        </w:rPr>
      </w:pPr>
      <w:r w:rsidRPr="00997645">
        <w:rPr>
          <w:rFonts w:ascii="Arial" w:hAnsi="Arial" w:cs="Arial"/>
          <w:color w:val="193962"/>
          <w:lang w:bidi="en-GB"/>
        </w:rPr>
        <w:t>Peer reviews have always been received well by organisations and have contributed to raising the profile and priority of the UPC OOH services within organisations and nationally. The themes detailed above were common to all organisations reviewed and it is believed a focus on these both at an organisational and national level will contribute towards achieving an integrated UPC service which is available to patients when they need it, to keep them well at home avoiding where possible the need for accident and emergency department or admission irrespective of time of day or day of the wee</w:t>
      </w:r>
      <w:r w:rsidR="00BF368F">
        <w:rPr>
          <w:rFonts w:ascii="Arial" w:hAnsi="Arial" w:cs="Arial"/>
          <w:color w:val="193962"/>
          <w:lang w:bidi="en-GB"/>
        </w:rPr>
        <w:t>k.</w:t>
      </w:r>
      <w:bookmarkEnd w:id="0"/>
    </w:p>
    <w:p w14:paraId="6AE73460" w14:textId="1433F422" w:rsidR="00F11163" w:rsidRPr="00680292" w:rsidRDefault="00F11163" w:rsidP="00ED63FB">
      <w:pPr>
        <w:jc w:val="both"/>
        <w:rPr>
          <w:rFonts w:ascii="Arial" w:hAnsi="Arial" w:cs="Arial"/>
          <w:sz w:val="2"/>
          <w:szCs w:val="2"/>
        </w:rPr>
      </w:pPr>
    </w:p>
    <w:sectPr w:rsidR="00F11163" w:rsidRPr="00680292" w:rsidSect="006B1509">
      <w:headerReference w:type="default" r:id="rId11"/>
      <w:footerReference w:type="even" r:id="rId12"/>
      <w:footerReference w:type="default" r:id="rId13"/>
      <w:pgSz w:w="11910" w:h="16840"/>
      <w:pgMar w:top="0" w:right="420" w:bottom="0" w:left="720" w:header="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88F29F" w14:textId="77777777" w:rsidR="00BF2821" w:rsidRDefault="00BF2821" w:rsidP="00607305">
      <w:r>
        <w:separator/>
      </w:r>
    </w:p>
  </w:endnote>
  <w:endnote w:type="continuationSeparator" w:id="0">
    <w:p w14:paraId="609E7845" w14:textId="77777777" w:rsidR="00BF2821" w:rsidRDefault="00BF2821" w:rsidP="006073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Cambria">
    <w:panose1 w:val="02040503050406030204"/>
    <w:charset w:val="00"/>
    <w:family w:val="roman"/>
    <w:pitch w:val="variable"/>
    <w:sig w:usb0="E00006FF" w:usb1="420024FF" w:usb2="02000000" w:usb3="00000000" w:csb0="0000019F" w:csb1="00000000"/>
  </w:font>
  <w:font w:name="FrutigerLTStd-Bold">
    <w:altName w:val="Malgun Gothic"/>
    <w:panose1 w:val="00000000000000000000"/>
    <w:charset w:val="00"/>
    <w:family w:val="swiss"/>
    <w:notTrueType/>
    <w:pitch w:val="variable"/>
    <w:sig w:usb0="00000003" w:usb1="4000204A"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D28E8E" w14:textId="606671AF" w:rsidR="00184B49" w:rsidRDefault="00184B49" w:rsidP="000F440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76ADDBB4" w14:textId="77777777" w:rsidR="00184B49" w:rsidRDefault="00184B49" w:rsidP="00184B4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8220263"/>
      <w:docPartObj>
        <w:docPartGallery w:val="Page Numbers (Bottom of Page)"/>
        <w:docPartUnique/>
      </w:docPartObj>
    </w:sdtPr>
    <w:sdtEndPr>
      <w:rPr>
        <w:noProof/>
      </w:rPr>
    </w:sdtEndPr>
    <w:sdtContent>
      <w:p w14:paraId="061C73FC" w14:textId="05631093" w:rsidR="00AE3D8D" w:rsidRDefault="00AE3D8D">
        <w:pPr>
          <w:pStyle w:val="Footer"/>
          <w:jc w:val="right"/>
        </w:pPr>
        <w:r>
          <w:rPr>
            <w:noProof/>
            <w:lang w:val="en-GB" w:eastAsia="en-GB"/>
          </w:rPr>
          <w:drawing>
            <wp:anchor distT="0" distB="0" distL="114300" distR="114300" simplePos="0" relativeHeight="251660288" behindDoc="0" locked="0" layoutInCell="1" allowOverlap="1" wp14:anchorId="69CAE902" wp14:editId="3329883C">
              <wp:simplePos x="0" y="0"/>
              <wp:positionH relativeFrom="column">
                <wp:posOffset>-521970</wp:posOffset>
              </wp:positionH>
              <wp:positionV relativeFrom="page">
                <wp:posOffset>10068560</wp:posOffset>
              </wp:positionV>
              <wp:extent cx="8693785" cy="629920"/>
              <wp:effectExtent l="0" t="0" r="0" b="0"/>
              <wp:wrapThrough wrapText="bothSides">
                <wp:wrapPolygon edited="0">
                  <wp:start x="0" y="0"/>
                  <wp:lineTo x="0" y="20903"/>
                  <wp:lineTo x="21535" y="20903"/>
                  <wp:lineTo x="21535" y="0"/>
                  <wp:lineTo x="0" y="0"/>
                </wp:wrapPolygon>
              </wp:wrapThrough>
              <wp:docPr id="4" name="Picture 1" descr="Background pattern&#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1" descr="Background pattern&#10;&#10;Description automatically generated"/>
                      <pic:cNvPicPr preferRelativeResize="0">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93785" cy="629920"/>
                      </a:xfrm>
                      <a:prstGeom prst="rect">
                        <a:avLst/>
                      </a:prstGeom>
                      <a:noFill/>
                      <a:ln>
                        <a:noFill/>
                      </a:ln>
                    </pic:spPr>
                  </pic:pic>
                </a:graphicData>
              </a:graphic>
              <wp14:sizeRelH relativeFrom="margin">
                <wp14:pctWidth>0</wp14:pctWidth>
              </wp14:sizeRelH>
              <wp14:sizeRelV relativeFrom="margin">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sdtContent>
  </w:sdt>
  <w:p w14:paraId="64312C17" w14:textId="1CBFCE89" w:rsidR="00607305" w:rsidRDefault="00607305" w:rsidP="00184B4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AD5C7F" w14:textId="77777777" w:rsidR="00BF2821" w:rsidRDefault="00BF2821" w:rsidP="00607305">
      <w:r>
        <w:separator/>
      </w:r>
    </w:p>
  </w:footnote>
  <w:footnote w:type="continuationSeparator" w:id="0">
    <w:p w14:paraId="05BB2996" w14:textId="77777777" w:rsidR="00BF2821" w:rsidRDefault="00BF2821" w:rsidP="006073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8F23DD" w14:textId="004B87F6" w:rsidR="00607305" w:rsidRDefault="00553F01">
    <w:pPr>
      <w:pStyle w:val="Header"/>
    </w:pPr>
    <w:r>
      <w:rPr>
        <w:noProof/>
        <w:lang w:val="en-GB" w:eastAsia="en-GB"/>
      </w:rPr>
      <w:drawing>
        <wp:anchor distT="0" distB="0" distL="114300" distR="114300" simplePos="0" relativeHeight="251658240" behindDoc="0" locked="0" layoutInCell="1" allowOverlap="1" wp14:anchorId="2F94FB72" wp14:editId="3A0B7E30">
          <wp:simplePos x="0" y="0"/>
          <wp:positionH relativeFrom="column">
            <wp:posOffset>-683895</wp:posOffset>
          </wp:positionH>
          <wp:positionV relativeFrom="paragraph">
            <wp:posOffset>13970</wp:posOffset>
          </wp:positionV>
          <wp:extent cx="8692515" cy="631190"/>
          <wp:effectExtent l="0" t="0" r="0" b="0"/>
          <wp:wrapThrough wrapText="bothSides">
            <wp:wrapPolygon edited="0">
              <wp:start x="0" y="0"/>
              <wp:lineTo x="0" y="20861"/>
              <wp:lineTo x="21538" y="20861"/>
              <wp:lineTo x="21538" y="0"/>
              <wp:lineTo x="0" y="0"/>
            </wp:wrapPolygon>
          </wp:wrapThrough>
          <wp:docPr id="2"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92515" cy="63119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F108F5"/>
    <w:multiLevelType w:val="hybridMultilevel"/>
    <w:tmpl w:val="5112B7CC"/>
    <w:lvl w:ilvl="0" w:tplc="2F74D438">
      <w:numFmt w:val="bullet"/>
      <w:lvlText w:val="•"/>
      <w:lvlJc w:val="left"/>
      <w:pPr>
        <w:ind w:left="206" w:hanging="187"/>
      </w:pPr>
      <w:rPr>
        <w:rFonts w:hint="default"/>
        <w:b w:val="0"/>
        <w:bCs w:val="0"/>
        <w:i w:val="0"/>
        <w:iCs w:val="0"/>
        <w:color w:val="15BECF"/>
        <w:w w:val="100"/>
        <w:sz w:val="24"/>
        <w:szCs w:val="24"/>
        <w:lang w:val="en-US" w:eastAsia="en-US" w:bidi="ar-SA"/>
      </w:rPr>
    </w:lvl>
    <w:lvl w:ilvl="1" w:tplc="2F74D438">
      <w:numFmt w:val="bullet"/>
      <w:lvlText w:val="•"/>
      <w:lvlJc w:val="left"/>
      <w:pPr>
        <w:ind w:left="905" w:hanging="187"/>
      </w:pPr>
      <w:rPr>
        <w:rFonts w:hint="default"/>
        <w:lang w:val="en-US" w:eastAsia="en-US" w:bidi="ar-SA"/>
      </w:rPr>
    </w:lvl>
    <w:lvl w:ilvl="2" w:tplc="0B88D4E8">
      <w:numFmt w:val="bullet"/>
      <w:lvlText w:val="•"/>
      <w:lvlJc w:val="left"/>
      <w:pPr>
        <w:ind w:left="1611" w:hanging="187"/>
      </w:pPr>
      <w:rPr>
        <w:rFonts w:hint="default"/>
        <w:lang w:val="en-US" w:eastAsia="en-US" w:bidi="ar-SA"/>
      </w:rPr>
    </w:lvl>
    <w:lvl w:ilvl="3" w:tplc="5F2810B8">
      <w:numFmt w:val="bullet"/>
      <w:lvlText w:val="•"/>
      <w:lvlJc w:val="left"/>
      <w:pPr>
        <w:ind w:left="2316" w:hanging="187"/>
      </w:pPr>
      <w:rPr>
        <w:rFonts w:hint="default"/>
        <w:lang w:val="en-US" w:eastAsia="en-US" w:bidi="ar-SA"/>
      </w:rPr>
    </w:lvl>
    <w:lvl w:ilvl="4" w:tplc="C56C49C6">
      <w:numFmt w:val="bullet"/>
      <w:lvlText w:val="•"/>
      <w:lvlJc w:val="left"/>
      <w:pPr>
        <w:ind w:left="3022" w:hanging="187"/>
      </w:pPr>
      <w:rPr>
        <w:rFonts w:hint="default"/>
        <w:lang w:val="en-US" w:eastAsia="en-US" w:bidi="ar-SA"/>
      </w:rPr>
    </w:lvl>
    <w:lvl w:ilvl="5" w:tplc="C86A36EA">
      <w:numFmt w:val="bullet"/>
      <w:lvlText w:val="•"/>
      <w:lvlJc w:val="left"/>
      <w:pPr>
        <w:ind w:left="3727" w:hanging="187"/>
      </w:pPr>
      <w:rPr>
        <w:rFonts w:hint="default"/>
        <w:lang w:val="en-US" w:eastAsia="en-US" w:bidi="ar-SA"/>
      </w:rPr>
    </w:lvl>
    <w:lvl w:ilvl="6" w:tplc="2216285A">
      <w:numFmt w:val="bullet"/>
      <w:lvlText w:val="•"/>
      <w:lvlJc w:val="left"/>
      <w:pPr>
        <w:ind w:left="4433" w:hanging="187"/>
      </w:pPr>
      <w:rPr>
        <w:rFonts w:hint="default"/>
        <w:lang w:val="en-US" w:eastAsia="en-US" w:bidi="ar-SA"/>
      </w:rPr>
    </w:lvl>
    <w:lvl w:ilvl="7" w:tplc="6B0AFB52">
      <w:numFmt w:val="bullet"/>
      <w:lvlText w:val="•"/>
      <w:lvlJc w:val="left"/>
      <w:pPr>
        <w:ind w:left="5138" w:hanging="187"/>
      </w:pPr>
      <w:rPr>
        <w:rFonts w:hint="default"/>
        <w:lang w:val="en-US" w:eastAsia="en-US" w:bidi="ar-SA"/>
      </w:rPr>
    </w:lvl>
    <w:lvl w:ilvl="8" w:tplc="07CECB84">
      <w:numFmt w:val="bullet"/>
      <w:lvlText w:val="•"/>
      <w:lvlJc w:val="left"/>
      <w:pPr>
        <w:ind w:left="5844" w:hanging="187"/>
      </w:pPr>
      <w:rPr>
        <w:rFonts w:hint="default"/>
        <w:lang w:val="en-US" w:eastAsia="en-US" w:bidi="ar-SA"/>
      </w:rPr>
    </w:lvl>
  </w:abstractNum>
  <w:abstractNum w:abstractNumId="1" w15:restartNumberingAfterBreak="0">
    <w:nsid w:val="67CA6B35"/>
    <w:multiLevelType w:val="hybridMultilevel"/>
    <w:tmpl w:val="5E0C5E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B851914"/>
    <w:multiLevelType w:val="hybridMultilevel"/>
    <w:tmpl w:val="214821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8019514">
    <w:abstractNumId w:val="0"/>
  </w:num>
  <w:num w:numId="2" w16cid:durableId="1441875602">
    <w:abstractNumId w:val="2"/>
  </w:num>
  <w:num w:numId="3" w16cid:durableId="17096004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163"/>
    <w:rsid w:val="00017AF1"/>
    <w:rsid w:val="000E6F3E"/>
    <w:rsid w:val="001036DB"/>
    <w:rsid w:val="00137A7C"/>
    <w:rsid w:val="00184B49"/>
    <w:rsid w:val="001E636A"/>
    <w:rsid w:val="00215907"/>
    <w:rsid w:val="003034DA"/>
    <w:rsid w:val="003C2FFD"/>
    <w:rsid w:val="003E4703"/>
    <w:rsid w:val="00494D7A"/>
    <w:rsid w:val="00515E86"/>
    <w:rsid w:val="00553F01"/>
    <w:rsid w:val="00575CD5"/>
    <w:rsid w:val="005E341B"/>
    <w:rsid w:val="00607305"/>
    <w:rsid w:val="00617B75"/>
    <w:rsid w:val="00633F2D"/>
    <w:rsid w:val="006725F6"/>
    <w:rsid w:val="00680292"/>
    <w:rsid w:val="006B1509"/>
    <w:rsid w:val="006F057A"/>
    <w:rsid w:val="007A5E6D"/>
    <w:rsid w:val="007D4174"/>
    <w:rsid w:val="00873A3D"/>
    <w:rsid w:val="008B57D6"/>
    <w:rsid w:val="008F63D8"/>
    <w:rsid w:val="008F72E4"/>
    <w:rsid w:val="00916D8C"/>
    <w:rsid w:val="00934385"/>
    <w:rsid w:val="00997645"/>
    <w:rsid w:val="009D7E35"/>
    <w:rsid w:val="009E3674"/>
    <w:rsid w:val="00A60D78"/>
    <w:rsid w:val="00AD6D1C"/>
    <w:rsid w:val="00AE3D8D"/>
    <w:rsid w:val="00B01CB2"/>
    <w:rsid w:val="00BF0ADB"/>
    <w:rsid w:val="00BF2821"/>
    <w:rsid w:val="00BF368F"/>
    <w:rsid w:val="00C60A49"/>
    <w:rsid w:val="00CD2DAC"/>
    <w:rsid w:val="00CD61B4"/>
    <w:rsid w:val="00CF71B4"/>
    <w:rsid w:val="00D0351D"/>
    <w:rsid w:val="00DE23DF"/>
    <w:rsid w:val="00E77A8E"/>
    <w:rsid w:val="00E90733"/>
    <w:rsid w:val="00ED63FB"/>
    <w:rsid w:val="00EF6619"/>
    <w:rsid w:val="00F11163"/>
    <w:rsid w:val="00F71EE0"/>
    <w:rsid w:val="00FF23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4BBF207"/>
  <w15:docId w15:val="{20AB85A5-FAB8-464F-A8D2-86A701C78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pPr>
    <w:rPr>
      <w:rFonts w:ascii="FrutigerLTStd-Roman" w:eastAsia="FrutigerLTStd-Roman" w:hAnsi="FrutigerLTStd-Roman" w:cs="FrutigerLTStd-Roman"/>
      <w:sz w:val="22"/>
      <w:szCs w:val="22"/>
      <w:lang w:val="en-US" w:eastAsia="en-US"/>
    </w:rPr>
  </w:style>
  <w:style w:type="paragraph" w:styleId="Heading1">
    <w:name w:val="heading 1"/>
    <w:basedOn w:val="Normal"/>
    <w:next w:val="Normal"/>
    <w:link w:val="Heading1Char"/>
    <w:uiPriority w:val="9"/>
    <w:qFormat/>
    <w:rsid w:val="00997645"/>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CD2DAC"/>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21"/>
      <w:ind w:left="20"/>
    </w:pPr>
    <w:rPr>
      <w:sz w:val="24"/>
      <w:szCs w:val="24"/>
    </w:rPr>
  </w:style>
  <w:style w:type="paragraph" w:styleId="Title">
    <w:name w:val="Title"/>
    <w:basedOn w:val="Normal"/>
    <w:uiPriority w:val="10"/>
    <w:qFormat/>
    <w:pPr>
      <w:spacing w:line="1152" w:lineRule="exact"/>
      <w:ind w:left="20"/>
    </w:pPr>
    <w:rPr>
      <w:rFonts w:ascii="FrutigerLTStd-Bold" w:eastAsia="FrutigerLTStd-Bold" w:hAnsi="FrutigerLTStd-Bold" w:cs="FrutigerLTStd-Bold"/>
      <w:b/>
      <w:bCs/>
      <w:sz w:val="100"/>
      <w:szCs w:val="10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customStyle="1" w:styleId="BodyTextChar">
    <w:name w:val="Body Text Char"/>
    <w:link w:val="BodyText"/>
    <w:uiPriority w:val="1"/>
    <w:rsid w:val="00575CD5"/>
    <w:rPr>
      <w:rFonts w:ascii="FrutigerLTStd-Roman" w:eastAsia="FrutigerLTStd-Roman" w:hAnsi="FrutigerLTStd-Roman" w:cs="FrutigerLTStd-Roman"/>
      <w:sz w:val="24"/>
      <w:szCs w:val="24"/>
    </w:rPr>
  </w:style>
  <w:style w:type="paragraph" w:styleId="NoSpacing">
    <w:name w:val="No Spacing"/>
    <w:link w:val="NoSpacingChar"/>
    <w:uiPriority w:val="1"/>
    <w:qFormat/>
    <w:rsid w:val="009E3674"/>
    <w:rPr>
      <w:rFonts w:eastAsia="Times New Roman"/>
      <w:sz w:val="22"/>
      <w:szCs w:val="22"/>
      <w:lang w:val="en-US" w:eastAsia="zh-CN"/>
    </w:rPr>
  </w:style>
  <w:style w:type="character" w:customStyle="1" w:styleId="NoSpacingChar">
    <w:name w:val="No Spacing Char"/>
    <w:link w:val="NoSpacing"/>
    <w:uiPriority w:val="1"/>
    <w:rsid w:val="009E3674"/>
    <w:rPr>
      <w:rFonts w:eastAsia="Times New Roman"/>
      <w:lang w:eastAsia="zh-CN"/>
    </w:rPr>
  </w:style>
  <w:style w:type="paragraph" w:styleId="Header">
    <w:name w:val="header"/>
    <w:basedOn w:val="Normal"/>
    <w:link w:val="HeaderChar"/>
    <w:uiPriority w:val="99"/>
    <w:unhideWhenUsed/>
    <w:rsid w:val="00607305"/>
    <w:pPr>
      <w:tabs>
        <w:tab w:val="center" w:pos="4513"/>
        <w:tab w:val="right" w:pos="9026"/>
      </w:tabs>
    </w:pPr>
  </w:style>
  <w:style w:type="character" w:customStyle="1" w:styleId="HeaderChar">
    <w:name w:val="Header Char"/>
    <w:link w:val="Header"/>
    <w:uiPriority w:val="99"/>
    <w:rsid w:val="00607305"/>
    <w:rPr>
      <w:rFonts w:ascii="FrutigerLTStd-Roman" w:eastAsia="FrutigerLTStd-Roman" w:hAnsi="FrutigerLTStd-Roman" w:cs="FrutigerLTStd-Roman"/>
    </w:rPr>
  </w:style>
  <w:style w:type="paragraph" w:styleId="Footer">
    <w:name w:val="footer"/>
    <w:basedOn w:val="Normal"/>
    <w:link w:val="FooterChar"/>
    <w:uiPriority w:val="99"/>
    <w:unhideWhenUsed/>
    <w:rsid w:val="00607305"/>
    <w:pPr>
      <w:tabs>
        <w:tab w:val="center" w:pos="4513"/>
        <w:tab w:val="right" w:pos="9026"/>
      </w:tabs>
    </w:pPr>
  </w:style>
  <w:style w:type="character" w:customStyle="1" w:styleId="FooterChar">
    <w:name w:val="Footer Char"/>
    <w:link w:val="Footer"/>
    <w:uiPriority w:val="99"/>
    <w:rsid w:val="00607305"/>
    <w:rPr>
      <w:rFonts w:ascii="FrutigerLTStd-Roman" w:eastAsia="FrutigerLTStd-Roman" w:hAnsi="FrutigerLTStd-Roman" w:cs="FrutigerLTStd-Roman"/>
    </w:rPr>
  </w:style>
  <w:style w:type="character" w:styleId="PageNumber">
    <w:name w:val="page number"/>
    <w:basedOn w:val="DefaultParagraphFont"/>
    <w:uiPriority w:val="99"/>
    <w:semiHidden/>
    <w:unhideWhenUsed/>
    <w:rsid w:val="00184B49"/>
  </w:style>
  <w:style w:type="character" w:customStyle="1" w:styleId="Heading1Char">
    <w:name w:val="Heading 1 Char"/>
    <w:basedOn w:val="DefaultParagraphFont"/>
    <w:link w:val="Heading1"/>
    <w:uiPriority w:val="9"/>
    <w:rsid w:val="00997645"/>
    <w:rPr>
      <w:rFonts w:asciiTheme="majorHAnsi" w:eastAsiaTheme="majorEastAsia" w:hAnsiTheme="majorHAnsi" w:cstheme="majorBidi"/>
      <w:color w:val="365F91" w:themeColor="accent1" w:themeShade="BF"/>
      <w:sz w:val="32"/>
      <w:szCs w:val="32"/>
      <w:lang w:val="en-US" w:eastAsia="en-US"/>
    </w:rPr>
  </w:style>
  <w:style w:type="character" w:customStyle="1" w:styleId="Heading2Char">
    <w:name w:val="Heading 2 Char"/>
    <w:basedOn w:val="DefaultParagraphFont"/>
    <w:link w:val="Heading2"/>
    <w:uiPriority w:val="9"/>
    <w:rsid w:val="00CD2DAC"/>
    <w:rPr>
      <w:rFonts w:asciiTheme="majorHAnsi" w:eastAsiaTheme="majorEastAsia" w:hAnsiTheme="majorHAnsi" w:cstheme="majorBidi"/>
      <w:color w:val="365F91" w:themeColor="accent1" w:themeShade="BF"/>
      <w:sz w:val="26"/>
      <w:szCs w:val="2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0668119">
      <w:bodyDiv w:val="1"/>
      <w:marLeft w:val="0"/>
      <w:marRight w:val="0"/>
      <w:marTop w:val="0"/>
      <w:marBottom w:val="0"/>
      <w:divBdr>
        <w:top w:val="none" w:sz="0" w:space="0" w:color="auto"/>
        <w:left w:val="none" w:sz="0" w:space="0" w:color="auto"/>
        <w:bottom w:val="none" w:sz="0" w:space="0" w:color="auto"/>
        <w:right w:val="none" w:sz="0" w:space="0" w:color="auto"/>
      </w:divBdr>
    </w:div>
    <w:div w:id="5298042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FD7446-6730-43C1-A74A-2FE947F6A6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1225</Words>
  <Characters>6986</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SPPC_Word_template_A4_v2</vt:lpstr>
    </vt:vector>
  </TitlesOfParts>
  <Company/>
  <LinksUpToDate>false</LinksUpToDate>
  <CharactersWithSpaces>8195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SPPC_Word_template_A4_v2</dc:title>
  <dc:creator>Raylene Roper (Aneurin Bevan UHB - Strategic Programme for Primary Care)</dc:creator>
  <cp:lastModifiedBy>Bethan Gregory (Public Health Wales - No. 2 Capital Quarter)</cp:lastModifiedBy>
  <cp:revision>6</cp:revision>
  <dcterms:created xsi:type="dcterms:W3CDTF">2023-03-14T14:15:00Z</dcterms:created>
  <dcterms:modified xsi:type="dcterms:W3CDTF">2023-03-14T14:58:00Z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2021-09-29T00:00:00Z</vt:filetime>
  </property>
  <property fmtid="{D5CDD505-2E9C-101B-9397-08002B2CF9AE}" pid="3" name="Creator">
    <vt:lpwstr>Adobe Illustrator 25.4 (Macintosh)</vt:lpwstr>
  </property>
  <property fmtid="{D5CDD505-2E9C-101B-9397-08002B2CF9AE}" pid="4" name="LastSaved">
    <vt:filetime>2021-09-29T00:00:00Z</vt:filetime>
  </property>
</Properties>
</file>