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152E" w:rsidRPr="00D02044" w:rsidRDefault="00014D86" w:rsidP="00E20281">
      <w:pPr>
        <w:ind w:left="-1134"/>
        <w:rPr>
          <w:rFonts w:ascii="Ubuntu" w:hAnsi="Ubuntu"/>
        </w:rPr>
        <w:sectPr w:rsidR="009A152E" w:rsidRPr="00D02044" w:rsidSect="00326474">
          <w:headerReference w:type="default" r:id="rId11"/>
          <w:footerReference w:type="default" r:id="rId12"/>
          <w:pgSz w:w="11900" w:h="16840"/>
          <w:pgMar w:top="-14" w:right="1134" w:bottom="1440" w:left="1134" w:header="0" w:footer="0" w:gutter="0"/>
          <w:cols w:space="708"/>
          <w:titlePg/>
          <w:docGrid w:linePitch="360"/>
        </w:sectPr>
      </w:pPr>
      <w:r w:rsidRPr="00D02044">
        <w:rPr>
          <w:rFonts w:ascii="Ubuntu" w:hAnsi="Ubuntu"/>
          <w:noProof/>
          <w:lang w:eastAsia="en-GB"/>
        </w:rPr>
        <mc:AlternateContent>
          <mc:Choice Requires="wps">
            <w:drawing>
              <wp:anchor distT="0" distB="0" distL="114300" distR="114300" simplePos="0" relativeHeight="251637248" behindDoc="0" locked="0" layoutInCell="1" allowOverlap="1" wp14:anchorId="35AE54BD" wp14:editId="12C576B4">
                <wp:simplePos x="0" y="0"/>
                <wp:positionH relativeFrom="column">
                  <wp:posOffset>134349</wp:posOffset>
                </wp:positionH>
                <wp:positionV relativeFrom="paragraph">
                  <wp:posOffset>2104723</wp:posOffset>
                </wp:positionV>
                <wp:extent cx="5760720" cy="2025078"/>
                <wp:effectExtent l="0" t="0" r="0" b="0"/>
                <wp:wrapNone/>
                <wp:docPr id="23" name="Text Box 23"/>
                <wp:cNvGraphicFramePr/>
                <a:graphic xmlns:a="http://schemas.openxmlformats.org/drawingml/2006/main">
                  <a:graphicData uri="http://schemas.microsoft.com/office/word/2010/wordprocessingShape">
                    <wps:wsp>
                      <wps:cNvSpPr txBox="1"/>
                      <wps:spPr>
                        <a:xfrm>
                          <a:off x="0" y="0"/>
                          <a:ext cx="5760720" cy="2025078"/>
                        </a:xfrm>
                        <a:prstGeom prst="rect">
                          <a:avLst/>
                        </a:prstGeom>
                        <a:noFill/>
                        <a:ln w="6350">
                          <a:noFill/>
                        </a:ln>
                      </wps:spPr>
                      <wps:txbx>
                        <w:txbxContent>
                          <w:p w:rsidR="00C43173" w:rsidRDefault="00C43173" w:rsidP="00E47569">
                            <w:pPr>
                              <w:jc w:val="center"/>
                              <w:rPr>
                                <w:rFonts w:ascii="Verdana" w:hAnsi="Verdana"/>
                                <w:b/>
                                <w:color w:val="FFFFFF" w:themeColor="background1"/>
                                <w:sz w:val="64"/>
                                <w:szCs w:val="64"/>
                              </w:rPr>
                            </w:pPr>
                            <w:r w:rsidRPr="00014D86">
                              <w:rPr>
                                <w:rFonts w:ascii="Verdana" w:hAnsi="Verdana"/>
                                <w:b/>
                                <w:bCs/>
                                <w:color w:val="FFFFFF" w:themeColor="background1"/>
                                <w:sz w:val="64"/>
                                <w:szCs w:val="64"/>
                              </w:rPr>
                              <w:t>Primary Care Division</w:t>
                            </w:r>
                          </w:p>
                          <w:p w:rsidR="00C43173" w:rsidRDefault="00C43173" w:rsidP="00E47569">
                            <w:pPr>
                              <w:jc w:val="center"/>
                              <w:rPr>
                                <w:rFonts w:ascii="Verdana" w:hAnsi="Verdana"/>
                                <w:b/>
                                <w:bCs/>
                                <w:color w:val="FFFFFF" w:themeColor="background1"/>
                                <w:sz w:val="64"/>
                                <w:szCs w:val="64"/>
                              </w:rPr>
                            </w:pPr>
                            <w:r>
                              <w:rPr>
                                <w:rFonts w:ascii="Verdana" w:hAnsi="Verdana"/>
                                <w:b/>
                                <w:bCs/>
                                <w:color w:val="FFFFFF" w:themeColor="background1"/>
                                <w:sz w:val="64"/>
                                <w:szCs w:val="64"/>
                              </w:rPr>
                              <w:t>Work Plan 2022/2023</w:t>
                            </w:r>
                          </w:p>
                          <w:p w:rsidR="00C43173" w:rsidRPr="00014D86" w:rsidRDefault="00C43173" w:rsidP="00F40BFA">
                            <w:pPr>
                              <w:rPr>
                                <w:rFonts w:ascii="Verdana" w:hAnsi="Verdana"/>
                                <w:b/>
                                <w:bCs/>
                                <w:color w:val="FFFFFF" w:themeColor="background1"/>
                                <w:sz w:val="64"/>
                                <w:szCs w:val="6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5AE54BD" id="_x0000_t202" coordsize="21600,21600" o:spt="202" path="m,l,21600r21600,l21600,xe">
                <v:stroke joinstyle="miter"/>
                <v:path gradientshapeok="t" o:connecttype="rect"/>
              </v:shapetype>
              <v:shape id="Text Box 23" o:spid="_x0000_s1026" type="#_x0000_t202" style="position:absolute;left:0;text-align:left;margin-left:10.6pt;margin-top:165.75pt;width:453.6pt;height:159.4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" filled="f" stroked="f" strokeweight=".5pt">
                <v:textbox>
                  <w:txbxContent>
                    <w:p w:rsidR="00C43173" w:rsidRDefault="00C43173" w:rsidP="00E47569">
                      <w:pPr>
                        <w:jc w:val="center"/>
                        <w:rPr>
                          <w:rFonts w:ascii="Verdana" w:hAnsi="Verdana"/>
                          <w:b/>
                          <w:color w:val="FFFFFF" w:themeColor="background1"/>
                          <w:sz w:val="64"/>
                          <w:szCs w:val="64"/>
                        </w:rPr>
                      </w:pPr>
                      <w:r w:rsidRPr="00014D86">
                        <w:rPr>
                          <w:rFonts w:ascii="Verdana" w:hAnsi="Verdana"/>
                          <w:b/>
                          <w:bCs/>
                          <w:color w:val="FFFFFF" w:themeColor="background1"/>
                          <w:sz w:val="64"/>
                          <w:szCs w:val="64"/>
                        </w:rPr>
                        <w:t>Primary Care Division</w:t>
                      </w:r>
                    </w:p>
                    <w:p w:rsidR="00C43173" w:rsidRDefault="00C43173" w:rsidP="00E47569">
                      <w:pPr>
                        <w:jc w:val="center"/>
                        <w:rPr>
                          <w:rFonts w:ascii="Verdana" w:hAnsi="Verdana"/>
                          <w:b/>
                          <w:bCs/>
                          <w:color w:val="FFFFFF" w:themeColor="background1"/>
                          <w:sz w:val="64"/>
                          <w:szCs w:val="64"/>
                        </w:rPr>
                      </w:pPr>
                      <w:r>
                        <w:rPr>
                          <w:rFonts w:ascii="Verdana" w:hAnsi="Verdana"/>
                          <w:b/>
                          <w:bCs/>
                          <w:color w:val="FFFFFF" w:themeColor="background1"/>
                          <w:sz w:val="64"/>
                          <w:szCs w:val="64"/>
                        </w:rPr>
                        <w:t>Work Plan 2022/2023</w:t>
                      </w:r>
                    </w:p>
                    <w:p w:rsidR="00C43173" w:rsidRPr="00014D86" w:rsidRDefault="00C43173" w:rsidP="00F40BFA">
                      <w:pPr>
                        <w:rPr>
                          <w:rFonts w:ascii="Verdana" w:hAnsi="Verdana"/>
                          <w:b/>
                          <w:bCs/>
                          <w:color w:val="FFFFFF" w:themeColor="background1"/>
                          <w:sz w:val="64"/>
                          <w:szCs w:val="64"/>
                        </w:rPr>
                      </w:pPr>
                    </w:p>
                  </w:txbxContent>
                </v:textbox>
              </v:shape>
            </w:pict>
          </mc:Fallback>
        </mc:AlternateContent>
      </w:r>
      <w:r w:rsidR="006063F1" w:rsidRPr="00D02044">
        <w:rPr>
          <w:rFonts w:ascii="Ubuntu" w:hAnsi="Ubuntu"/>
          <w:noProof/>
          <w:lang w:eastAsia="en-GB"/>
        </w:rPr>
        <mc:AlternateContent>
          <mc:Choice Requires="wps">
            <w:drawing>
              <wp:anchor distT="0" distB="0" distL="114300" distR="114300" simplePos="0" relativeHeight="251639296" behindDoc="0" locked="0" layoutInCell="1" allowOverlap="1" wp14:anchorId="197E6753" wp14:editId="214E9706">
                <wp:simplePos x="0" y="0"/>
                <wp:positionH relativeFrom="margin">
                  <wp:align>right</wp:align>
                </wp:positionH>
                <wp:positionV relativeFrom="paragraph">
                  <wp:posOffset>4197350</wp:posOffset>
                </wp:positionV>
                <wp:extent cx="5956300" cy="310896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5956300" cy="3108960"/>
                        </a:xfrm>
                        <a:prstGeom prst="rect">
                          <a:avLst/>
                        </a:prstGeom>
                        <a:noFill/>
                        <a:ln w="6350">
                          <a:noFill/>
                        </a:ln>
                      </wps:spPr>
                      <wps:txbx>
                        <w:txbxContent>
                          <w:p w:rsidR="00C43173" w:rsidRDefault="00C43173" w:rsidP="0059518D">
                            <w:pPr>
                              <w:rPr>
                                <w:rFonts w:ascii="Verdana" w:hAnsi="Verdana"/>
                                <w:b/>
                                <w:color w:val="34B9CE"/>
                                <w:sz w:val="68"/>
                                <w:szCs w:val="68"/>
                              </w:rPr>
                            </w:pPr>
                          </w:p>
                          <w:p w:rsidR="00C43173" w:rsidRDefault="00C43173" w:rsidP="000854E1">
                            <w:pPr>
                              <w:jc w:val="center"/>
                              <w:rPr>
                                <w:rFonts w:ascii="Verdana" w:hAnsi="Verdana"/>
                                <w:b/>
                                <w:color w:val="34B9CE"/>
                                <w:sz w:val="68"/>
                                <w:szCs w:val="68"/>
                              </w:rPr>
                            </w:pPr>
                            <w:r>
                              <w:rPr>
                                <w:rFonts w:ascii="Verdana" w:hAnsi="Verdana"/>
                                <w:b/>
                                <w:color w:val="34B9CE"/>
                                <w:sz w:val="68"/>
                                <w:szCs w:val="68"/>
                              </w:rPr>
                              <w:t>End of Year Report</w:t>
                            </w:r>
                          </w:p>
                          <w:p w:rsidR="006044A4" w:rsidRDefault="006044A4" w:rsidP="000854E1">
                            <w:pPr>
                              <w:jc w:val="center"/>
                              <w:rPr>
                                <w:rFonts w:ascii="Verdana" w:hAnsi="Verdana"/>
                                <w:b/>
                                <w:color w:val="34B9CE"/>
                                <w:sz w:val="68"/>
                                <w:szCs w:val="68"/>
                              </w:rPr>
                            </w:pPr>
                            <w:r>
                              <w:rPr>
                                <w:rFonts w:ascii="Verdana" w:hAnsi="Verdana"/>
                                <w:b/>
                                <w:color w:val="34B9CE"/>
                                <w:sz w:val="68"/>
                                <w:szCs w:val="68"/>
                              </w:rPr>
                              <w:t xml:space="preserve">Narrative </w:t>
                            </w:r>
                          </w:p>
                          <w:p w:rsidR="00C43173" w:rsidRPr="00DC17B0" w:rsidRDefault="00C43173" w:rsidP="0061473A">
                            <w:pPr>
                              <w:jc w:val="center"/>
                              <w:rPr>
                                <w:rFonts w:ascii="Verdana" w:hAnsi="Verdana"/>
                                <w:b/>
                                <w:color w:val="34B9CE"/>
                                <w:sz w:val="68"/>
                                <w:szCs w:val="68"/>
                              </w:rPr>
                            </w:pPr>
                          </w:p>
                          <w:p w:rsidR="00C43173" w:rsidRDefault="00C43173" w:rsidP="0061473A">
                            <w:pPr>
                              <w:jc w:val="center"/>
                              <w:rPr>
                                <w:rFonts w:ascii="Ubuntu" w:hAnsi="Ubuntu"/>
                                <w:color w:val="34B9CE"/>
                                <w:sz w:val="68"/>
                                <w:szCs w:val="68"/>
                              </w:rPr>
                            </w:pPr>
                            <w:r>
                              <w:rPr>
                                <w:noProof/>
                                <w:lang w:eastAsia="en-GB"/>
                              </w:rPr>
                              <w:drawing>
                                <wp:inline distT="0" distB="0" distL="0" distR="0" wp14:anchorId="4DC039A3" wp14:editId="626FFBE7">
                                  <wp:extent cx="914400" cy="914400"/>
                                  <wp:effectExtent l="0" t="0" r="0" b="0"/>
                                  <wp:docPr id="1" name="Graphic 2" descr="Apple with solid fill">
                                    <a:extLst xmlns:a="http://schemas.openxmlformats.org/drawingml/2006/main">
                                      <a:ext uri="{FF2B5EF4-FFF2-40B4-BE49-F238E27FC236}">
                                        <a16:creationId xmlns:a16="http://schemas.microsoft.com/office/drawing/2014/main" id="{4ACBCFB7-ECD7-3B95-DB03-51DFE655BA38}"/>
                                      </a:ext>
                                    </a:extLst>
                                  </wp:docPr>
                                  <wp:cNvGraphicFramePr/>
                                  <a:graphic xmlns:a="http://schemas.openxmlformats.org/drawingml/2006/main">
                                    <a:graphicData uri="http://schemas.openxmlformats.org/drawingml/2006/picture">
                                      <pic:pic xmlns:pic="http://schemas.openxmlformats.org/drawingml/2006/picture">
                                        <pic:nvPicPr>
                                          <pic:cNvPr id="5" name="Graphic 2" descr="Apple with solid fill">
                                            <a:extLst>
                                              <a:ext uri="{FF2B5EF4-FFF2-40B4-BE49-F238E27FC236}">
                                                <a16:creationId xmlns:a16="http://schemas.microsoft.com/office/drawing/2014/main" id="{4ACBCFB7-ECD7-3B95-DB03-51DFE655BA38}"/>
                                              </a:ext>
                                            </a:extLst>
                                          </pic:cNvPr>
                                          <pic:cNvPicPr/>
                                        </pic:nvPicPr>
                                        <pic:blipFill>
                                          <a:blip r:embed="rId13">
                                            <a:extLs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914400" cy="914400"/>
                                          </a:xfrm>
                                          <a:prstGeom prst="rect">
                                            <a:avLst/>
                                          </a:prstGeom>
                                        </pic:spPr>
                                      </pic:pic>
                                    </a:graphicData>
                                  </a:graphic>
                                </wp:inline>
                              </w:drawing>
                            </w:r>
                            <w:r>
                              <w:rPr>
                                <w:rFonts w:ascii="Ubuntu" w:hAnsi="Ubuntu"/>
                                <w:color w:val="34B9CE"/>
                                <w:sz w:val="68"/>
                                <w:szCs w:val="68"/>
                              </w:rPr>
                              <w:t xml:space="preserve">  </w:t>
                            </w:r>
                            <w:r>
                              <w:rPr>
                                <w:noProof/>
                                <w:lang w:eastAsia="en-GB"/>
                              </w:rPr>
                              <w:drawing>
                                <wp:inline distT="0" distB="0" distL="0" distR="0" wp14:anchorId="7D1FB703" wp14:editId="44BCF616">
                                  <wp:extent cx="914400" cy="914400"/>
                                  <wp:effectExtent l="0" t="0" r="0" b="0"/>
                                  <wp:docPr id="3" name="Graphic 3" descr="Heart with pulse with solid fill">
                                    <a:extLst xmlns:a="http://schemas.openxmlformats.org/drawingml/2006/main">
                                      <a:ext uri="{FF2B5EF4-FFF2-40B4-BE49-F238E27FC236}">
                                        <a16:creationId xmlns:a16="http://schemas.microsoft.com/office/drawing/2014/main" id="{A354C555-70B9-29F9-2364-B57106803E13}"/>
                                      </a:ext>
                                    </a:extLst>
                                  </wp:docPr>
                                  <wp:cNvGraphicFramePr/>
                                  <a:graphic xmlns:a="http://schemas.openxmlformats.org/drawingml/2006/main">
                                    <a:graphicData uri="http://schemas.openxmlformats.org/drawingml/2006/picture">
                                      <pic:pic xmlns:pic="http://schemas.openxmlformats.org/drawingml/2006/picture">
                                        <pic:nvPicPr>
                                          <pic:cNvPr id="6" name="Graphic 3" descr="Heart with pulse with solid fill">
                                            <a:extLst>
                                              <a:ext uri="{FF2B5EF4-FFF2-40B4-BE49-F238E27FC236}">
                                                <a16:creationId xmlns:a16="http://schemas.microsoft.com/office/drawing/2014/main" id="{A354C555-70B9-29F9-2364-B57106803E13}"/>
                                              </a:ext>
                                            </a:extLst>
                                          </pic:cNvPr>
                                          <pic:cNvPicPr/>
                                        </pic:nvPicPr>
                                        <pic:blipFill>
                                          <a:blip r:embed="rId15">
                                            <a:extLs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6"/>
                                              </a:ext>
                                            </a:extLst>
                                          </a:blip>
                                          <a:stretch>
                                            <a:fillRect/>
                                          </a:stretch>
                                        </pic:blipFill>
                                        <pic:spPr>
                                          <a:xfrm>
                                            <a:off x="0" y="0"/>
                                            <a:ext cx="914400" cy="914400"/>
                                          </a:xfrm>
                                          <a:prstGeom prst="rect">
                                            <a:avLst/>
                                          </a:prstGeom>
                                        </pic:spPr>
                                      </pic:pic>
                                    </a:graphicData>
                                  </a:graphic>
                                </wp:inline>
                              </w:drawing>
                            </w:r>
                            <w:r>
                              <w:rPr>
                                <w:rFonts w:ascii="Ubuntu" w:hAnsi="Ubuntu"/>
                                <w:color w:val="34B9CE"/>
                                <w:sz w:val="68"/>
                                <w:szCs w:val="68"/>
                              </w:rPr>
                              <w:t xml:space="preserve">  </w:t>
                            </w:r>
                            <w:r>
                              <w:rPr>
                                <w:noProof/>
                                <w:lang w:eastAsia="en-GB"/>
                              </w:rPr>
                              <w:drawing>
                                <wp:inline distT="0" distB="0" distL="0" distR="0" wp14:anchorId="2039778C" wp14:editId="57ABE942">
                                  <wp:extent cx="914400" cy="914400"/>
                                  <wp:effectExtent l="0" t="0" r="0" b="0"/>
                                  <wp:docPr id="4" name="Graphic 4" descr="Tooth with solid fill">
                                    <a:extLst xmlns:a="http://schemas.openxmlformats.org/drawingml/2006/main">
                                      <a:ext uri="{FF2B5EF4-FFF2-40B4-BE49-F238E27FC236}">
                                        <a16:creationId xmlns:a16="http://schemas.microsoft.com/office/drawing/2014/main" id="{88406819-D3C5-4E59-D125-06F5EC17FD2D}"/>
                                      </a:ext>
                                    </a:extLst>
                                  </wp:docPr>
                                  <wp:cNvGraphicFramePr/>
                                  <a:graphic xmlns:a="http://schemas.openxmlformats.org/drawingml/2006/main">
                                    <a:graphicData uri="http://schemas.openxmlformats.org/drawingml/2006/picture">
                                      <pic:pic xmlns:pic="http://schemas.openxmlformats.org/drawingml/2006/picture">
                                        <pic:nvPicPr>
                                          <pic:cNvPr id="4" name="Graphic 4" descr="Tooth with solid fill">
                                            <a:extLst>
                                              <a:ext uri="{FF2B5EF4-FFF2-40B4-BE49-F238E27FC236}">
                                                <a16:creationId xmlns:a16="http://schemas.microsoft.com/office/drawing/2014/main" id="{88406819-D3C5-4E59-D125-06F5EC17FD2D}"/>
                                              </a:ext>
                                            </a:extLst>
                                          </pic:cNvPr>
                                          <pic:cNvPicPr/>
                                        </pic:nvPicPr>
                                        <pic:blipFill>
                                          <a:blip r:embed="rId17">
                                            <a:extLs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8"/>
                                              </a:ext>
                                            </a:extLst>
                                          </a:blip>
                                          <a:stretch>
                                            <a:fillRect/>
                                          </a:stretch>
                                        </pic:blipFill>
                                        <pic:spPr>
                                          <a:xfrm>
                                            <a:off x="0" y="0"/>
                                            <a:ext cx="914400" cy="914400"/>
                                          </a:xfrm>
                                          <a:prstGeom prst="rect">
                                            <a:avLst/>
                                          </a:prstGeom>
                                        </pic:spPr>
                                      </pic:pic>
                                    </a:graphicData>
                                  </a:graphic>
                                </wp:inline>
                              </w:drawing>
                            </w:r>
                          </w:p>
                          <w:p w:rsidR="00C43173" w:rsidRPr="006063F1" w:rsidRDefault="00C43173" w:rsidP="0059518D">
                            <w:pPr>
                              <w:rPr>
                                <w:rFonts w:ascii="Ubuntu" w:hAnsi="Ubuntu"/>
                                <w:color w:val="34B9CE"/>
                                <w:sz w:val="68"/>
                                <w:szCs w:val="6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7E6753" id="Text Box 24" o:spid="_x0000_s1027" type="#_x0000_t202" style="position:absolute;left:0;text-align:left;margin-left:417.8pt;margin-top:330.5pt;width:469pt;height:244.8pt;z-index:2516392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" filled="f" stroked="f" strokeweight=".5pt">
                <v:textbox>
                  <w:txbxContent>
                    <w:p w:rsidR="00C43173" w:rsidRDefault="00C43173" w:rsidP="0059518D">
                      <w:pPr>
                        <w:rPr>
                          <w:rFonts w:ascii="Verdana" w:hAnsi="Verdana"/>
                          <w:b/>
                          <w:color w:val="34B9CE"/>
                          <w:sz w:val="68"/>
                          <w:szCs w:val="68"/>
                        </w:rPr>
                      </w:pPr>
                    </w:p>
                    <w:p w:rsidR="00C43173" w:rsidRDefault="00C43173" w:rsidP="000854E1">
                      <w:pPr>
                        <w:jc w:val="center"/>
                        <w:rPr>
                          <w:rFonts w:ascii="Verdana" w:hAnsi="Verdana"/>
                          <w:b/>
                          <w:color w:val="34B9CE"/>
                          <w:sz w:val="68"/>
                          <w:szCs w:val="68"/>
                        </w:rPr>
                      </w:pPr>
                      <w:r>
                        <w:rPr>
                          <w:rFonts w:ascii="Verdana" w:hAnsi="Verdana"/>
                          <w:b/>
                          <w:color w:val="34B9CE"/>
                          <w:sz w:val="68"/>
                          <w:szCs w:val="68"/>
                        </w:rPr>
                        <w:t>End of Year Report</w:t>
                      </w:r>
                    </w:p>
                    <w:p w:rsidR="006044A4" w:rsidRDefault="006044A4" w:rsidP="000854E1">
                      <w:pPr>
                        <w:jc w:val="center"/>
                        <w:rPr>
                          <w:rFonts w:ascii="Verdana" w:hAnsi="Verdana"/>
                          <w:b/>
                          <w:color w:val="34B9CE"/>
                          <w:sz w:val="68"/>
                          <w:szCs w:val="68"/>
                        </w:rPr>
                      </w:pPr>
                      <w:r>
                        <w:rPr>
                          <w:rFonts w:ascii="Verdana" w:hAnsi="Verdana"/>
                          <w:b/>
                          <w:color w:val="34B9CE"/>
                          <w:sz w:val="68"/>
                          <w:szCs w:val="68"/>
                        </w:rPr>
                        <w:t xml:space="preserve">Narrative </w:t>
                      </w:r>
                    </w:p>
                    <w:p w:rsidR="00C43173" w:rsidRPr="00DC17B0" w:rsidRDefault="00C43173" w:rsidP="0061473A">
                      <w:pPr>
                        <w:jc w:val="center"/>
                        <w:rPr>
                          <w:rFonts w:ascii="Verdana" w:hAnsi="Verdana"/>
                          <w:b/>
                          <w:color w:val="34B9CE"/>
                          <w:sz w:val="68"/>
                          <w:szCs w:val="68"/>
                        </w:rPr>
                      </w:pPr>
                    </w:p>
                    <w:p w:rsidR="00C43173" w:rsidRDefault="00C43173" w:rsidP="0061473A">
                      <w:pPr>
                        <w:jc w:val="center"/>
                        <w:rPr>
                          <w:rFonts w:ascii="Ubuntu" w:hAnsi="Ubuntu"/>
                          <w:color w:val="34B9CE"/>
                          <w:sz w:val="68"/>
                          <w:szCs w:val="68"/>
                        </w:rPr>
                      </w:pPr>
                      <w:r>
                        <w:rPr>
                          <w:noProof/>
                          <w:lang w:eastAsia="en-GB"/>
                        </w:rPr>
                        <w:drawing>
                          <wp:inline distT="0" distB="0" distL="0" distR="0" wp14:anchorId="4DC039A3" wp14:editId="626FFBE7">
                            <wp:extent cx="914400" cy="914400"/>
                            <wp:effectExtent l="0" t="0" r="0" b="0"/>
                            <wp:docPr id="1" name="Graphic 2" descr="Apple with solid fill">
                              <a:extLst xmlns:a="http://schemas.openxmlformats.org/drawingml/2006/main">
                                <a:ext uri="{FF2B5EF4-FFF2-40B4-BE49-F238E27FC236}">
                                  <a16:creationId xmlns:a16="http://schemas.microsoft.com/office/drawing/2014/main" id="{4ACBCFB7-ECD7-3B95-DB03-51DFE655BA38}"/>
                                </a:ext>
                              </a:extLst>
                            </wp:docPr>
                            <wp:cNvGraphicFramePr/>
                            <a:graphic xmlns:a="http://schemas.openxmlformats.org/drawingml/2006/main">
                              <a:graphicData uri="http://schemas.openxmlformats.org/drawingml/2006/picture">
                                <pic:pic xmlns:pic="http://schemas.openxmlformats.org/drawingml/2006/picture">
                                  <pic:nvPicPr>
                                    <pic:cNvPr id="5" name="Graphic 2" descr="Apple with solid fill">
                                      <a:extLst>
                                        <a:ext uri="{FF2B5EF4-FFF2-40B4-BE49-F238E27FC236}">
                                          <a16:creationId xmlns:a16="http://schemas.microsoft.com/office/drawing/2014/main" id="{4ACBCFB7-ECD7-3B95-DB03-51DFE655BA38}"/>
                                        </a:ext>
                                      </a:extLst>
                                    </pic:cNvPr>
                                    <pic:cNvPicPr/>
                                  </pic:nvPicPr>
                                  <pic:blipFill>
                                    <a:blip r:embed="rId13">
                                      <a:extLs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914400" cy="914400"/>
                                    </a:xfrm>
                                    <a:prstGeom prst="rect">
                                      <a:avLst/>
                                    </a:prstGeom>
                                  </pic:spPr>
                                </pic:pic>
                              </a:graphicData>
                            </a:graphic>
                          </wp:inline>
                        </w:drawing>
                      </w:r>
                      <w:r>
                        <w:rPr>
                          <w:rFonts w:ascii="Ubuntu" w:hAnsi="Ubuntu"/>
                          <w:color w:val="34B9CE"/>
                          <w:sz w:val="68"/>
                          <w:szCs w:val="68"/>
                        </w:rPr>
                        <w:t xml:space="preserve">  </w:t>
                      </w:r>
                      <w:r>
                        <w:rPr>
                          <w:noProof/>
                          <w:lang w:eastAsia="en-GB"/>
                        </w:rPr>
                        <w:drawing>
                          <wp:inline distT="0" distB="0" distL="0" distR="0" wp14:anchorId="7D1FB703" wp14:editId="44BCF616">
                            <wp:extent cx="914400" cy="914400"/>
                            <wp:effectExtent l="0" t="0" r="0" b="0"/>
                            <wp:docPr id="3" name="Graphic 3" descr="Heart with pulse with solid fill">
                              <a:extLst xmlns:a="http://schemas.openxmlformats.org/drawingml/2006/main">
                                <a:ext uri="{FF2B5EF4-FFF2-40B4-BE49-F238E27FC236}">
                                  <a16:creationId xmlns:a16="http://schemas.microsoft.com/office/drawing/2014/main" id="{A354C555-70B9-29F9-2364-B57106803E13}"/>
                                </a:ext>
                              </a:extLst>
                            </wp:docPr>
                            <wp:cNvGraphicFramePr/>
                            <a:graphic xmlns:a="http://schemas.openxmlformats.org/drawingml/2006/main">
                              <a:graphicData uri="http://schemas.openxmlformats.org/drawingml/2006/picture">
                                <pic:pic xmlns:pic="http://schemas.openxmlformats.org/drawingml/2006/picture">
                                  <pic:nvPicPr>
                                    <pic:cNvPr id="6" name="Graphic 3" descr="Heart with pulse with solid fill">
                                      <a:extLst>
                                        <a:ext uri="{FF2B5EF4-FFF2-40B4-BE49-F238E27FC236}">
                                          <a16:creationId xmlns:a16="http://schemas.microsoft.com/office/drawing/2014/main" id="{A354C555-70B9-29F9-2364-B57106803E13}"/>
                                        </a:ext>
                                      </a:extLst>
                                    </pic:cNvPr>
                                    <pic:cNvPicPr/>
                                  </pic:nvPicPr>
                                  <pic:blipFill>
                                    <a:blip r:embed="rId15">
                                      <a:extLs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6"/>
                                        </a:ext>
                                      </a:extLst>
                                    </a:blip>
                                    <a:stretch>
                                      <a:fillRect/>
                                    </a:stretch>
                                  </pic:blipFill>
                                  <pic:spPr>
                                    <a:xfrm>
                                      <a:off x="0" y="0"/>
                                      <a:ext cx="914400" cy="914400"/>
                                    </a:xfrm>
                                    <a:prstGeom prst="rect">
                                      <a:avLst/>
                                    </a:prstGeom>
                                  </pic:spPr>
                                </pic:pic>
                              </a:graphicData>
                            </a:graphic>
                          </wp:inline>
                        </w:drawing>
                      </w:r>
                      <w:r>
                        <w:rPr>
                          <w:rFonts w:ascii="Ubuntu" w:hAnsi="Ubuntu"/>
                          <w:color w:val="34B9CE"/>
                          <w:sz w:val="68"/>
                          <w:szCs w:val="68"/>
                        </w:rPr>
                        <w:t xml:space="preserve">  </w:t>
                      </w:r>
                      <w:r>
                        <w:rPr>
                          <w:noProof/>
                          <w:lang w:eastAsia="en-GB"/>
                        </w:rPr>
                        <w:drawing>
                          <wp:inline distT="0" distB="0" distL="0" distR="0" wp14:anchorId="2039778C" wp14:editId="57ABE942">
                            <wp:extent cx="914400" cy="914400"/>
                            <wp:effectExtent l="0" t="0" r="0" b="0"/>
                            <wp:docPr id="4" name="Graphic 4" descr="Tooth with solid fill">
                              <a:extLst xmlns:a="http://schemas.openxmlformats.org/drawingml/2006/main">
                                <a:ext uri="{FF2B5EF4-FFF2-40B4-BE49-F238E27FC236}">
                                  <a16:creationId xmlns:a16="http://schemas.microsoft.com/office/drawing/2014/main" id="{88406819-D3C5-4E59-D125-06F5EC17FD2D}"/>
                                </a:ext>
                              </a:extLst>
                            </wp:docPr>
                            <wp:cNvGraphicFramePr/>
                            <a:graphic xmlns:a="http://schemas.openxmlformats.org/drawingml/2006/main">
                              <a:graphicData uri="http://schemas.openxmlformats.org/drawingml/2006/picture">
                                <pic:pic xmlns:pic="http://schemas.openxmlformats.org/drawingml/2006/picture">
                                  <pic:nvPicPr>
                                    <pic:cNvPr id="4" name="Graphic 4" descr="Tooth with solid fill">
                                      <a:extLst>
                                        <a:ext uri="{FF2B5EF4-FFF2-40B4-BE49-F238E27FC236}">
                                          <a16:creationId xmlns:a16="http://schemas.microsoft.com/office/drawing/2014/main" id="{88406819-D3C5-4E59-D125-06F5EC17FD2D}"/>
                                        </a:ext>
                                      </a:extLst>
                                    </pic:cNvPr>
                                    <pic:cNvPicPr/>
                                  </pic:nvPicPr>
                                  <pic:blipFill>
                                    <a:blip r:embed="rId17">
                                      <a:extLs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8"/>
                                        </a:ext>
                                      </a:extLst>
                                    </a:blip>
                                    <a:stretch>
                                      <a:fillRect/>
                                    </a:stretch>
                                  </pic:blipFill>
                                  <pic:spPr>
                                    <a:xfrm>
                                      <a:off x="0" y="0"/>
                                      <a:ext cx="914400" cy="914400"/>
                                    </a:xfrm>
                                    <a:prstGeom prst="rect">
                                      <a:avLst/>
                                    </a:prstGeom>
                                  </pic:spPr>
                                </pic:pic>
                              </a:graphicData>
                            </a:graphic>
                          </wp:inline>
                        </w:drawing>
                      </w:r>
                    </w:p>
                    <w:p w:rsidR="00C43173" w:rsidRPr="006063F1" w:rsidRDefault="00C43173" w:rsidP="0059518D">
                      <w:pPr>
                        <w:rPr>
                          <w:rFonts w:ascii="Ubuntu" w:hAnsi="Ubuntu"/>
                          <w:color w:val="34B9CE"/>
                          <w:sz w:val="68"/>
                          <w:szCs w:val="68"/>
                        </w:rPr>
                      </w:pPr>
                    </w:p>
                  </w:txbxContent>
                </v:textbox>
                <w10:wrap anchorx="margin"/>
              </v:shape>
            </w:pict>
          </mc:Fallback>
        </mc:AlternateContent>
      </w:r>
      <w:r w:rsidR="004260B4" w:rsidRPr="00D02044">
        <w:rPr>
          <w:rFonts w:ascii="Ubuntu" w:hAnsi="Ubuntu"/>
          <w:noProof/>
          <w:lang w:eastAsia="en-GB"/>
        </w:rPr>
        <mc:AlternateContent>
          <mc:Choice Requires="wps">
            <w:drawing>
              <wp:anchor distT="0" distB="0" distL="114300" distR="114300" simplePos="0" relativeHeight="251645440" behindDoc="0" locked="0" layoutInCell="1" allowOverlap="1" wp14:anchorId="5F0479AD" wp14:editId="49BCBA0A">
                <wp:simplePos x="0" y="0"/>
                <wp:positionH relativeFrom="column">
                  <wp:posOffset>16510</wp:posOffset>
                </wp:positionH>
                <wp:positionV relativeFrom="paragraph">
                  <wp:posOffset>7534910</wp:posOffset>
                </wp:positionV>
                <wp:extent cx="5956300" cy="1155700"/>
                <wp:effectExtent l="0" t="0" r="0" b="6350"/>
                <wp:wrapNone/>
                <wp:docPr id="12" name="Text Box 12"/>
                <wp:cNvGraphicFramePr/>
                <a:graphic xmlns:a="http://schemas.openxmlformats.org/drawingml/2006/main">
                  <a:graphicData uri="http://schemas.microsoft.com/office/word/2010/wordprocessingShape">
                    <wps:wsp>
                      <wps:cNvSpPr txBox="1"/>
                      <wps:spPr>
                        <a:xfrm>
                          <a:off x="0" y="0"/>
                          <a:ext cx="5956300" cy="1155700"/>
                        </a:xfrm>
                        <a:prstGeom prst="rect">
                          <a:avLst/>
                        </a:prstGeom>
                        <a:noFill/>
                        <a:ln w="6350">
                          <a:noFill/>
                        </a:ln>
                      </wps:spPr>
                      <wps:txbx>
                        <w:txbxContent>
                          <w:p w:rsidR="00C43173" w:rsidRPr="004260B4" w:rsidRDefault="00C43173" w:rsidP="004260B4">
                            <w:pPr>
                              <w:jc w:val="right"/>
                              <w:rPr>
                                <w:rFonts w:ascii="Ubuntu" w:hAnsi="Ubuntu"/>
                                <w:b/>
                                <w:bCs/>
                                <w:color w:val="FFFFFF" w:themeColor="background1"/>
                                <w:sz w:val="32"/>
                                <w:szCs w:val="32"/>
                              </w:rPr>
                            </w:pPr>
                            <w:r w:rsidRPr="004260B4">
                              <w:rPr>
                                <w:rFonts w:ascii="Ubuntu" w:hAnsi="Ubuntu"/>
                                <w:b/>
                                <w:bCs/>
                                <w:color w:val="FFFFFF" w:themeColor="background1"/>
                                <w:sz w:val="32"/>
                                <w:szCs w:val="3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0479AD" id="Text Box 12" o:spid="_x0000_s1028" type="#_x0000_t202" style="position:absolute;left:0;text-align:left;margin-left:1.3pt;margin-top:593.3pt;width:469pt;height:91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" filled="f" stroked="f" strokeweight=".5pt">
                <v:textbox>
                  <w:txbxContent>
                    <w:p w:rsidR="00C43173" w:rsidRPr="004260B4" w:rsidRDefault="00C43173" w:rsidP="004260B4">
                      <w:pPr>
                        <w:jc w:val="right"/>
                        <w:rPr>
                          <w:rFonts w:ascii="Ubuntu" w:hAnsi="Ubuntu"/>
                          <w:b/>
                          <w:bCs/>
                          <w:color w:val="FFFFFF" w:themeColor="background1"/>
                          <w:sz w:val="32"/>
                          <w:szCs w:val="32"/>
                        </w:rPr>
                      </w:pPr>
                      <w:r w:rsidRPr="004260B4">
                        <w:rPr>
                          <w:rFonts w:ascii="Ubuntu" w:hAnsi="Ubuntu"/>
                          <w:b/>
                          <w:bCs/>
                          <w:color w:val="FFFFFF" w:themeColor="background1"/>
                          <w:sz w:val="32"/>
                          <w:szCs w:val="32"/>
                        </w:rPr>
                        <w:t xml:space="preserve"> </w:t>
                      </w:r>
                    </w:p>
                  </w:txbxContent>
                </v:textbox>
              </v:shape>
            </w:pict>
          </mc:Fallback>
        </mc:AlternateContent>
      </w:r>
      <w:r w:rsidR="0029115A" w:rsidRPr="00D02044">
        <w:rPr>
          <w:rFonts w:ascii="Ubuntu" w:hAnsi="Ubuntu"/>
          <w:noProof/>
          <w:lang w:eastAsia="en-GB"/>
        </w:rPr>
        <mc:AlternateContent>
          <mc:Choice Requires="wps">
            <w:drawing>
              <wp:anchor distT="0" distB="0" distL="114300" distR="114300" simplePos="0" relativeHeight="251643392" behindDoc="0" locked="0" layoutInCell="1" allowOverlap="1" wp14:anchorId="6839E374" wp14:editId="0FD7C078">
                <wp:simplePos x="0" y="0"/>
                <wp:positionH relativeFrom="column">
                  <wp:posOffset>-631190</wp:posOffset>
                </wp:positionH>
                <wp:positionV relativeFrom="paragraph">
                  <wp:posOffset>88265</wp:posOffset>
                </wp:positionV>
                <wp:extent cx="3759200" cy="13843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3759200" cy="1384300"/>
                        </a:xfrm>
                        <a:prstGeom prst="rect">
                          <a:avLst/>
                        </a:prstGeom>
                        <a:noFill/>
                        <a:ln w="6350">
                          <a:noFill/>
                        </a:ln>
                      </wps:spPr>
                      <wps:txbx>
                        <w:txbxContent>
                          <w:p w:rsidR="00C43173" w:rsidRDefault="00C43173">
                            <w:r>
                              <w:rPr>
                                <w:noProof/>
                                <w:lang w:eastAsia="en-GB"/>
                              </w:rPr>
                              <w:drawing>
                                <wp:inline distT="0" distB="0" distL="0" distR="0" wp14:anchorId="79207A0A" wp14:editId="6DF6D581">
                                  <wp:extent cx="2692400" cy="830899"/>
                                  <wp:effectExtent l="0" t="0" r="0" b="0"/>
                                  <wp:docPr id="6" name="Picture 6"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9">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839E374" id="Text Box 36" o:spid="_x0000_s1029" type="#_x0000_t202" style="position:absolute;left:0;text-align:left;margin-left:-49.7pt;margin-top:6.95pt;width:296pt;height:109pt;z-index:251643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" filled="f" stroked="f" strokeweight=".5pt">
                <v:textbox>
                  <w:txbxContent>
                    <w:p w:rsidR="00C43173" w:rsidRDefault="00C43173">
                      <w:r>
                        <w:rPr>
                          <w:noProof/>
                          <w:lang w:eastAsia="en-GB"/>
                        </w:rPr>
                        <w:drawing>
                          <wp:inline distT="0" distB="0" distL="0" distR="0" wp14:anchorId="79207A0A" wp14:editId="6DF6D581">
                            <wp:extent cx="2692400" cy="830899"/>
                            <wp:effectExtent l="0" t="0" r="0" b="0"/>
                            <wp:docPr id="6" name="Picture 6"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9">
                                      <a:extLst>
                                        <a:ext uri="{28A0092B-C50C-407E-A947-70E740481C1C}">
                                          <a14:useLocalDpi xmlns:a14="http://schemas.microsoft.com/office/drawing/2010/main" val="0"/>
                                        </a:ext>
                                      </a:extLst>
                                    </a:blip>
                                    <a:stretch>
                                      <a:fillRect/>
                                    </a:stretch>
                                  </pic:blipFill>
                                  <pic:spPr>
                                    <a:xfrm>
                                      <a:off x="0" y="0"/>
                                      <a:ext cx="2745783" cy="847373"/>
                                    </a:xfrm>
                                    <a:prstGeom prst="rect">
                                      <a:avLst/>
                                    </a:prstGeom>
                                  </pic:spPr>
                                </pic:pic>
                              </a:graphicData>
                            </a:graphic>
                          </wp:inline>
                        </w:drawing>
                      </w:r>
                    </w:p>
                  </w:txbxContent>
                </v:textbox>
              </v:shape>
            </w:pict>
          </mc:Fallback>
        </mc:AlternateContent>
      </w:r>
      <w:r w:rsidR="0059518D" w:rsidRPr="00D02044">
        <w:rPr>
          <w:rFonts w:ascii="Ubuntu" w:hAnsi="Ubuntu"/>
          <w:noProof/>
          <w:lang w:eastAsia="en-GB"/>
        </w:rPr>
        <mc:AlternateContent>
          <mc:Choice Requires="wps">
            <w:drawing>
              <wp:anchor distT="0" distB="0" distL="114300" distR="114300" simplePos="0" relativeHeight="251641344" behindDoc="0" locked="0" layoutInCell="1" allowOverlap="1" wp14:anchorId="62FF8193" wp14:editId="7F1AD744">
                <wp:simplePos x="0" y="0"/>
                <wp:positionH relativeFrom="column">
                  <wp:posOffset>2175510</wp:posOffset>
                </wp:positionH>
                <wp:positionV relativeFrom="paragraph">
                  <wp:posOffset>9511665</wp:posOffset>
                </wp:positionV>
                <wp:extent cx="4394200" cy="10033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4394200" cy="1003300"/>
                        </a:xfrm>
                        <a:prstGeom prst="rect">
                          <a:avLst/>
                        </a:prstGeom>
                        <a:noFill/>
                        <a:ln w="6350">
                          <a:noFill/>
                        </a:ln>
                      </wps:spPr>
                      <wps:txbx>
                        <w:txbxContent>
                          <w:p w:rsidR="00C43173" w:rsidRPr="0059518D" w:rsidRDefault="00C43173"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3169AA14" wp14:editId="3DAE909D">
                                  <wp:extent cx="4228427" cy="936821"/>
                                  <wp:effectExtent l="0" t="0" r="1270" b="3175"/>
                                  <wp:docPr id="7" name="Picture 7"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scatter chart&#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FF8193" id="Text Box 26" o:spid="_x0000_s1030" type="#_x0000_t202" style="position:absolute;left:0;text-align:left;margin-left:171.3pt;margin-top:748.95pt;width:346pt;height:79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" filled="f" stroked="f" strokeweight=".5pt">
                <v:textbox>
                  <w:txbxContent>
                    <w:p w:rsidR="00C43173" w:rsidRPr="0059518D" w:rsidRDefault="00C43173" w:rsidP="0029115A">
                      <w:pPr>
                        <w:jc w:val="right"/>
                        <w:rPr>
                          <w:color w:val="FFFFFF" w:themeColor="background1"/>
                          <w14:textFill>
                            <w14:noFill/>
                          </w14:textFill>
                        </w:rPr>
                      </w:pPr>
                      <w:r w:rsidRPr="0059518D">
                        <w:rPr>
                          <w:noProof/>
                          <w:color w:val="FFFFFF" w:themeColor="background1"/>
                          <w:lang w:eastAsia="en-GB"/>
                          <w14:textFill>
                            <w14:noFill/>
                          </w14:textFill>
                        </w:rPr>
                        <w:drawing>
                          <wp:inline distT="0" distB="0" distL="0" distR="0" wp14:anchorId="3169AA14" wp14:editId="3DAE909D">
                            <wp:extent cx="4228427" cy="936821"/>
                            <wp:effectExtent l="0" t="0" r="1270" b="3175"/>
                            <wp:docPr id="7" name="Picture 7"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scatter chart&#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4341584" cy="961891"/>
                                    </a:xfrm>
                                    <a:prstGeom prst="rect">
                                      <a:avLst/>
                                    </a:prstGeom>
                                  </pic:spPr>
                                </pic:pic>
                              </a:graphicData>
                            </a:graphic>
                          </wp:inline>
                        </w:drawing>
                      </w:r>
                    </w:p>
                  </w:txbxContent>
                </v:textbox>
              </v:shape>
            </w:pict>
          </mc:Fallback>
        </mc:AlternateContent>
      </w:r>
      <w:r w:rsidR="00265FEC" w:rsidRPr="00D02044">
        <w:rPr>
          <w:rFonts w:ascii="Ubuntu" w:hAnsi="Ubuntu"/>
          <w:noProof/>
          <w:lang w:eastAsia="en-GB"/>
        </w:rPr>
        <w:drawing>
          <wp:inline distT="0" distB="0" distL="0" distR="0" wp14:anchorId="43C13700" wp14:editId="6667D908">
            <wp:extent cx="7556500" cy="10680462"/>
            <wp:effectExtent l="19050" t="19050" r="25400" b="26035"/>
            <wp:docPr id="22" name="Picture 2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con&#10;&#10;Description automatically generated with medium confidenc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7574468" cy="10705858"/>
                    </a:xfrm>
                    <a:prstGeom prst="rect">
                      <a:avLst/>
                    </a:prstGeom>
                    <a:solidFill>
                      <a:schemeClr val="accent1">
                        <a:lumMod val="50000"/>
                        <a:alpha val="0"/>
                      </a:schemeClr>
                    </a:solidFill>
                    <a:ln>
                      <a:solidFill>
                        <a:schemeClr val="accent1">
                          <a:lumMod val="50000"/>
                        </a:schemeClr>
                      </a:solidFill>
                    </a:ln>
                  </pic:spPr>
                </pic:pic>
              </a:graphicData>
            </a:graphic>
          </wp:inline>
        </w:drawing>
      </w:r>
    </w:p>
    <w:p w:rsidR="00E5603E" w:rsidRPr="00C93A0F" w:rsidRDefault="003D5D7E" w:rsidP="00C93A0F">
      <w:pPr>
        <w:pStyle w:val="Heading1"/>
      </w:pPr>
      <w:bookmarkStart w:id="0" w:name="_Toc109039299"/>
      <w:bookmarkStart w:id="1" w:name="_Toc109039857"/>
      <w:bookmarkStart w:id="2" w:name="_Toc113636707"/>
      <w:bookmarkStart w:id="3" w:name="_Toc116053888"/>
      <w:bookmarkStart w:id="4" w:name="_Toc133225522"/>
      <w:r w:rsidRPr="00D02044">
        <w:rPr>
          <w:rFonts w:ascii="Ubuntu" w:hAnsi="Ubuntu"/>
          <w:noProof/>
          <w:lang w:eastAsia="en-GB"/>
        </w:rPr>
        <mc:AlternateContent>
          <mc:Choice Requires="wps">
            <w:drawing>
              <wp:anchor distT="0" distB="0" distL="114300" distR="114300" simplePos="0" relativeHeight="251658240" behindDoc="1" locked="0" layoutInCell="1" allowOverlap="1" wp14:anchorId="38FE0689" wp14:editId="78FCE82C">
                <wp:simplePos x="0" y="0"/>
                <wp:positionH relativeFrom="margin">
                  <wp:posOffset>-76200</wp:posOffset>
                </wp:positionH>
                <wp:positionV relativeFrom="paragraph">
                  <wp:posOffset>-163830</wp:posOffset>
                </wp:positionV>
                <wp:extent cx="6650182" cy="609600"/>
                <wp:effectExtent l="0" t="0" r="0" b="0"/>
                <wp:wrapNone/>
                <wp:docPr id="31" name="Text Box 31"/>
                <wp:cNvGraphicFramePr/>
                <a:graphic xmlns:a="http://schemas.openxmlformats.org/drawingml/2006/main">
                  <a:graphicData uri="http://schemas.microsoft.com/office/word/2010/wordprocessingShape">
                    <wps:wsp>
                      <wps:cNvSpPr txBox="1"/>
                      <wps:spPr>
                        <a:xfrm>
                          <a:off x="0" y="0"/>
                          <a:ext cx="6650182" cy="609600"/>
                        </a:xfrm>
                        <a:prstGeom prst="rect">
                          <a:avLst/>
                        </a:prstGeom>
                        <a:gradFill>
                          <a:gsLst>
                            <a:gs pos="0">
                              <a:srgbClr val="3A5384"/>
                            </a:gs>
                            <a:gs pos="100000">
                              <a:srgbClr val="34B9CE"/>
                            </a:gs>
                          </a:gsLst>
                          <a:lin ang="0" scaled="0"/>
                        </a:gradFill>
                        <a:ln w="6350">
                          <a:noFill/>
                        </a:ln>
                      </wps:spPr>
                      <wps:txbx>
                        <w:txbxContent>
                          <w:p w:rsidR="00C43173" w:rsidRPr="003D25B4" w:rsidRDefault="00C43173" w:rsidP="003D5D7E">
                            <w:pPr>
                              <w:pStyle w:val="Heading"/>
                              <w:rPr>
                                <w:sz w:val="34"/>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FE0689" id="Text Box 31" o:spid="_x0000_s1031" type="#_x0000_t202" style="position:absolute;margin-left:-6pt;margin-top:-12.9pt;width:523.65pt;height:48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" fillcolor="#3a5384" stroked="f" strokeweight=".5pt">
                <v:fill color2="#34b9ce" angle="90" focus="100%" type="gradient">
                  <o:fill v:ext="view" type="gradientUnscaled"/>
                </v:fill>
                <v:textbox inset="5mm">
                  <w:txbxContent>
                    <w:p w:rsidR="00C43173" w:rsidRPr="003D25B4" w:rsidRDefault="00C43173" w:rsidP="003D5D7E">
                      <w:pPr>
                        <w:pStyle w:val="Heading"/>
                        <w:rPr>
                          <w:sz w:val="34"/>
                        </w:rPr>
                      </w:pPr>
                    </w:p>
                  </w:txbxContent>
                </v:textbox>
                <w10:wrap anchorx="margin"/>
              </v:shape>
            </w:pict>
          </mc:Fallback>
        </mc:AlternateContent>
      </w:r>
      <w:bookmarkEnd w:id="0"/>
      <w:bookmarkEnd w:id="1"/>
      <w:bookmarkEnd w:id="2"/>
      <w:bookmarkEnd w:id="3"/>
      <w:r w:rsidR="00F24681">
        <w:rPr>
          <w:rFonts w:ascii="Arial" w:hAnsi="Arial" w:cs="Arial"/>
          <w:color w:val="FFFFFF" w:themeColor="background1"/>
        </w:rPr>
        <w:t xml:space="preserve">End of </w:t>
      </w:r>
      <w:r w:rsidR="00665806">
        <w:rPr>
          <w:rFonts w:ascii="Arial" w:hAnsi="Arial" w:cs="Arial"/>
          <w:color w:val="FFFFFF" w:themeColor="background1"/>
        </w:rPr>
        <w:t>Y</w:t>
      </w:r>
      <w:r w:rsidR="00F24681">
        <w:rPr>
          <w:rFonts w:ascii="Arial" w:hAnsi="Arial" w:cs="Arial"/>
          <w:color w:val="FFFFFF" w:themeColor="background1"/>
        </w:rPr>
        <w:t>ear</w:t>
      </w:r>
      <w:r w:rsidR="00D33918" w:rsidRPr="00EC0C4C">
        <w:rPr>
          <w:rFonts w:ascii="Arial" w:hAnsi="Arial" w:cs="Arial"/>
          <w:color w:val="FFFFFF" w:themeColor="background1"/>
        </w:rPr>
        <w:t xml:space="preserve"> Review</w:t>
      </w:r>
      <w:bookmarkEnd w:id="4"/>
    </w:p>
    <w:p w:rsidR="00EC0E5A" w:rsidRDefault="00EC0E5A" w:rsidP="000E0D97">
      <w:pPr>
        <w:autoSpaceDE w:val="0"/>
        <w:autoSpaceDN w:val="0"/>
        <w:adjustRightInd w:val="0"/>
        <w:spacing w:line="360" w:lineRule="auto"/>
        <w:ind w:right="118"/>
        <w:jc w:val="both"/>
        <w:rPr>
          <w:rFonts w:ascii="Verdana" w:hAnsi="Verdana" w:cs="Segoe UI"/>
          <w:sz w:val="22"/>
          <w:szCs w:val="22"/>
          <w:shd w:val="clear" w:color="auto" w:fill="FFFFFF"/>
        </w:rPr>
      </w:pPr>
    </w:p>
    <w:p w:rsidR="00570B59" w:rsidRPr="00EC0E5A" w:rsidRDefault="00570B59" w:rsidP="000E0D97">
      <w:pPr>
        <w:autoSpaceDE w:val="0"/>
        <w:autoSpaceDN w:val="0"/>
        <w:adjustRightInd w:val="0"/>
        <w:spacing w:line="360" w:lineRule="auto"/>
        <w:ind w:right="118"/>
        <w:jc w:val="both"/>
        <w:rPr>
          <w:rFonts w:ascii="Verdana" w:hAnsi="Verdana" w:cs="CIDFont+F2"/>
          <w:sz w:val="22"/>
          <w:szCs w:val="22"/>
        </w:rPr>
      </w:pPr>
      <w:r w:rsidRPr="00EC0E5A">
        <w:rPr>
          <w:rFonts w:ascii="Verdana" w:hAnsi="Verdana" w:cs="Segoe UI"/>
          <w:sz w:val="22"/>
          <w:szCs w:val="22"/>
          <w:shd w:val="clear" w:color="auto" w:fill="FFFFFF"/>
        </w:rPr>
        <w:t xml:space="preserve">The Primary Care Division work alongside key partners to influence improvement in population health through primary care settings.  </w:t>
      </w:r>
      <w:r w:rsidRPr="00EC0E5A">
        <w:rPr>
          <w:rFonts w:ascii="Verdana" w:eastAsia="Times New Roman" w:hAnsi="Verdana" w:cs="Segoe UI"/>
          <w:sz w:val="22"/>
          <w:szCs w:val="22"/>
          <w:lang w:eastAsia="en-GB"/>
        </w:rPr>
        <w:t xml:space="preserve">The Division is organised into two </w:t>
      </w:r>
      <w:r w:rsidR="0025234E" w:rsidRPr="00EC0E5A">
        <w:rPr>
          <w:rFonts w:ascii="Verdana" w:eastAsia="Times New Roman" w:hAnsi="Verdana" w:cs="Segoe UI"/>
          <w:sz w:val="22"/>
          <w:szCs w:val="22"/>
          <w:lang w:eastAsia="en-GB"/>
        </w:rPr>
        <w:t>teams:</w:t>
      </w:r>
      <w:r w:rsidRPr="00EC0E5A">
        <w:rPr>
          <w:rFonts w:ascii="Verdana" w:eastAsia="Times New Roman" w:hAnsi="Verdana" w:cs="Segoe UI"/>
          <w:sz w:val="22"/>
          <w:szCs w:val="22"/>
          <w:lang w:eastAsia="en-GB"/>
        </w:rPr>
        <w:t xml:space="preserve"> The Primary Care Development and Innovation Hub (the PC Hub), and the Dental Public Health Team.  The</w:t>
      </w:r>
      <w:r w:rsidRPr="00EC0E5A">
        <w:rPr>
          <w:rFonts w:ascii="Verdana" w:eastAsia="Times New Roman" w:hAnsi="Verdana" w:cs="Segoe UI"/>
          <w:b/>
          <w:bCs/>
          <w:sz w:val="22"/>
          <w:szCs w:val="22"/>
          <w:lang w:eastAsia="en-GB"/>
        </w:rPr>
        <w:t> </w:t>
      </w:r>
      <w:r w:rsidRPr="00EC0E5A">
        <w:rPr>
          <w:rFonts w:ascii="Verdana" w:eastAsia="Times New Roman" w:hAnsi="Verdana" w:cs="Segoe UI"/>
          <w:sz w:val="22"/>
          <w:szCs w:val="22"/>
          <w:lang w:eastAsia="en-GB"/>
        </w:rPr>
        <w:t>PC Hub</w:t>
      </w:r>
      <w:r w:rsidRPr="00EC0E5A">
        <w:rPr>
          <w:rFonts w:ascii="Verdana" w:eastAsia="Times New Roman" w:hAnsi="Verdana" w:cs="Segoe UI"/>
          <w:b/>
          <w:bCs/>
          <w:sz w:val="22"/>
          <w:szCs w:val="22"/>
          <w:lang w:eastAsia="en-GB"/>
        </w:rPr>
        <w:t> </w:t>
      </w:r>
      <w:r w:rsidRPr="00EC0E5A">
        <w:rPr>
          <w:rFonts w:ascii="Verdana" w:eastAsia="Times New Roman" w:hAnsi="Verdana" w:cs="Segoe UI"/>
          <w:sz w:val="22"/>
          <w:szCs w:val="22"/>
          <w:lang w:eastAsia="en-GB"/>
        </w:rPr>
        <w:t xml:space="preserve">has two overarching remits of (1) Supporting our partners in the delivery of national plans for the transformation of primary and community care in Wales and (2) developing a coordinated approach to prevention in primary and community care </w:t>
      </w:r>
      <w:r w:rsidRPr="00EC0E5A">
        <w:rPr>
          <w:rFonts w:ascii="Verdana" w:hAnsi="Verdana" w:cs="CIDFont+F2"/>
          <w:sz w:val="22"/>
          <w:szCs w:val="22"/>
        </w:rPr>
        <w:t>to reduce the avoidable burden of disease and improving population health</w:t>
      </w:r>
      <w:r w:rsidRPr="00EC0E5A">
        <w:rPr>
          <w:rFonts w:ascii="Verdana" w:eastAsia="Times New Roman" w:hAnsi="Verdana" w:cs="Segoe UI"/>
          <w:sz w:val="22"/>
          <w:szCs w:val="22"/>
          <w:lang w:eastAsia="en-GB"/>
        </w:rPr>
        <w:t>. The</w:t>
      </w:r>
      <w:r w:rsidRPr="00EC0E5A">
        <w:rPr>
          <w:rFonts w:ascii="Verdana" w:eastAsia="Times New Roman" w:hAnsi="Verdana" w:cs="Segoe UI"/>
          <w:b/>
          <w:bCs/>
          <w:sz w:val="22"/>
          <w:szCs w:val="22"/>
          <w:lang w:eastAsia="en-GB"/>
        </w:rPr>
        <w:t> </w:t>
      </w:r>
      <w:r w:rsidRPr="00EC0E5A">
        <w:rPr>
          <w:rFonts w:ascii="Verdana" w:eastAsia="Times New Roman" w:hAnsi="Verdana" w:cs="Segoe UI"/>
          <w:sz w:val="22"/>
          <w:szCs w:val="22"/>
          <w:lang w:eastAsia="en-GB"/>
        </w:rPr>
        <w:t xml:space="preserve">Dental Public Health Team focus on supporting and leading oral health and dental </w:t>
      </w:r>
      <w:r w:rsidRPr="00EC0E5A">
        <w:rPr>
          <w:rFonts w:ascii="Verdana" w:hAnsi="Verdana" w:cs="CIDFont+F2"/>
          <w:sz w:val="22"/>
          <w:szCs w:val="22"/>
        </w:rPr>
        <w:t>improvement and epidemiology programmes and supporting dental services development in Wales.</w:t>
      </w:r>
    </w:p>
    <w:p w:rsidR="000E0D97" w:rsidRPr="00EC0E5A" w:rsidRDefault="000E0D97" w:rsidP="000E0D97">
      <w:pPr>
        <w:autoSpaceDE w:val="0"/>
        <w:autoSpaceDN w:val="0"/>
        <w:adjustRightInd w:val="0"/>
        <w:spacing w:line="360" w:lineRule="auto"/>
        <w:jc w:val="both"/>
        <w:rPr>
          <w:rFonts w:ascii="Verdana" w:hAnsi="Verdana" w:cs="CIDFont+F2"/>
          <w:sz w:val="22"/>
          <w:szCs w:val="22"/>
        </w:rPr>
      </w:pPr>
    </w:p>
    <w:p w:rsidR="000E0D97" w:rsidRPr="00EC0E5A" w:rsidRDefault="000E0D97" w:rsidP="000E0D97">
      <w:pPr>
        <w:spacing w:line="360" w:lineRule="auto"/>
        <w:ind w:right="118"/>
        <w:jc w:val="both"/>
        <w:rPr>
          <w:rFonts w:ascii="Verdana" w:eastAsia="Times New Roman" w:hAnsi="Verdana" w:cs="Segoe UI"/>
          <w:color w:val="343A40"/>
          <w:sz w:val="22"/>
          <w:szCs w:val="22"/>
          <w:lang w:eastAsia="en-GB"/>
        </w:rPr>
      </w:pPr>
      <w:r w:rsidRPr="00EC0E5A">
        <w:rPr>
          <w:rFonts w:ascii="Verdana" w:hAnsi="Verdana"/>
          <w:sz w:val="22"/>
          <w:szCs w:val="22"/>
        </w:rPr>
        <w:t xml:space="preserve">The Primary Care Division developed an ambitious programme of work for 2022/23.  Our transformation work has been varied and changes year on year to meet the needs and demands of the wider system.  During 2022/23 it has focussed around providing the building blocks for cluster working and maturity under the direction of the Accelerated Cluster Development programme (ACD), </w:t>
      </w:r>
      <w:r w:rsidRPr="00EC0E5A">
        <w:rPr>
          <w:rFonts w:ascii="Verdana" w:hAnsi="Verdana" w:cs="Arial"/>
          <w:sz w:val="22"/>
          <w:szCs w:val="22"/>
        </w:rPr>
        <w:t xml:space="preserve">providing specialist public health advice, input and support into the </w:t>
      </w:r>
      <w:r w:rsidR="00C0672F" w:rsidRPr="00EC0E5A">
        <w:rPr>
          <w:rFonts w:ascii="Verdana" w:hAnsi="Verdana"/>
          <w:sz w:val="22"/>
          <w:szCs w:val="22"/>
        </w:rPr>
        <w:t>Strategic Programme for Primary Care (</w:t>
      </w:r>
      <w:r w:rsidRPr="00EC0E5A">
        <w:rPr>
          <w:rFonts w:ascii="Verdana" w:hAnsi="Verdana" w:cs="Arial"/>
          <w:sz w:val="22"/>
          <w:szCs w:val="22"/>
        </w:rPr>
        <w:t>SPPC</w:t>
      </w:r>
      <w:r w:rsidR="00C0672F" w:rsidRPr="00EC0E5A">
        <w:rPr>
          <w:rFonts w:ascii="Verdana" w:hAnsi="Verdana" w:cs="Arial"/>
          <w:sz w:val="22"/>
          <w:szCs w:val="22"/>
        </w:rPr>
        <w:t>)</w:t>
      </w:r>
      <w:r w:rsidRPr="00EC0E5A">
        <w:rPr>
          <w:rFonts w:ascii="Verdana" w:hAnsi="Verdana" w:cs="Arial"/>
          <w:sz w:val="22"/>
          <w:szCs w:val="22"/>
        </w:rPr>
        <w:t xml:space="preserve"> workstreams,</w:t>
      </w:r>
      <w:r w:rsidRPr="00EC0E5A">
        <w:rPr>
          <w:rFonts w:ascii="Verdana" w:hAnsi="Verdana"/>
          <w:sz w:val="22"/>
          <w:szCs w:val="22"/>
        </w:rPr>
        <w:t xml:space="preserve"> advocating population health approaches, focussing on prevention and evaluation as primary care starts to recover from the pandemic and work progresses to deliver the Primary Care Model for Wales. A notable programme of work that has gained significant traction across the system during 2022 is the </w:t>
      </w:r>
      <w:hyperlink r:id="rId22" w:history="1">
        <w:r w:rsidRPr="00EC0E5A">
          <w:rPr>
            <w:rFonts w:ascii="Verdana" w:eastAsia="Times New Roman" w:hAnsi="Verdana" w:cs="Segoe UI"/>
            <w:color w:val="1978A3"/>
            <w:sz w:val="22"/>
            <w:szCs w:val="22"/>
            <w:u w:val="single"/>
            <w:lang w:eastAsia="en-GB"/>
          </w:rPr>
          <w:t>Greener Primary Care</w:t>
        </w:r>
      </w:hyperlink>
      <w:r w:rsidRPr="00EC0E5A">
        <w:rPr>
          <w:rFonts w:ascii="Verdana" w:eastAsia="Times New Roman" w:hAnsi="Verdana" w:cs="Segoe UI"/>
          <w:color w:val="343A40"/>
          <w:sz w:val="22"/>
          <w:szCs w:val="22"/>
          <w:lang w:eastAsia="en-GB"/>
        </w:rPr>
        <w:t> Framework and Award Scheme.</w:t>
      </w:r>
    </w:p>
    <w:p w:rsidR="000E0D97" w:rsidRPr="00EC0E5A" w:rsidRDefault="000E0D97" w:rsidP="000E0D97">
      <w:pPr>
        <w:spacing w:line="360" w:lineRule="auto"/>
        <w:ind w:right="118"/>
        <w:jc w:val="both"/>
        <w:rPr>
          <w:rFonts w:ascii="Verdana" w:hAnsi="Verdana"/>
          <w:sz w:val="22"/>
          <w:szCs w:val="22"/>
        </w:rPr>
      </w:pPr>
    </w:p>
    <w:p w:rsidR="000E0D97" w:rsidRDefault="000E0D97" w:rsidP="000E0D97">
      <w:pPr>
        <w:autoSpaceDE w:val="0"/>
        <w:autoSpaceDN w:val="0"/>
        <w:adjustRightInd w:val="0"/>
        <w:spacing w:line="360" w:lineRule="auto"/>
        <w:ind w:right="260"/>
        <w:jc w:val="both"/>
        <w:rPr>
          <w:rFonts w:ascii="Verdana" w:eastAsia="Times New Roman" w:hAnsi="Verdana" w:cs="Segoe UI"/>
          <w:color w:val="343A40"/>
          <w:sz w:val="22"/>
          <w:szCs w:val="22"/>
          <w:lang w:eastAsia="en-GB"/>
        </w:rPr>
      </w:pPr>
      <w:r w:rsidRPr="00EC0E5A">
        <w:rPr>
          <w:rFonts w:ascii="Verdana" w:hAnsi="Verdana"/>
          <w:sz w:val="22"/>
          <w:szCs w:val="22"/>
        </w:rPr>
        <w:t>The prevention portfolio has developed in response to emerging priority areas highlighted by the pandemic, in particular the need to address obesity prevention and to support wellbeing through primary and community care.  Our work has focussed on core public health deliverables in addition to supporting and providing public health system leadership into the work of the S</w:t>
      </w:r>
      <w:r w:rsidR="00C0672F" w:rsidRPr="00EC0E5A">
        <w:rPr>
          <w:rFonts w:ascii="Verdana" w:hAnsi="Verdana"/>
          <w:sz w:val="22"/>
          <w:szCs w:val="22"/>
        </w:rPr>
        <w:t>PPC</w:t>
      </w:r>
      <w:r w:rsidRPr="00EC0E5A">
        <w:rPr>
          <w:rFonts w:ascii="Verdana" w:hAnsi="Verdana"/>
          <w:sz w:val="22"/>
          <w:szCs w:val="22"/>
        </w:rPr>
        <w:t xml:space="preserve"> and contract reform with a focus on </w:t>
      </w:r>
      <w:r w:rsidRPr="00EC0E5A">
        <w:rPr>
          <w:rFonts w:ascii="Verdana" w:eastAsia="Times New Roman" w:hAnsi="Verdana" w:cs="Segoe UI"/>
          <w:color w:val="343A40"/>
          <w:sz w:val="22"/>
          <w:szCs w:val="22"/>
          <w:lang w:eastAsia="en-GB"/>
        </w:rPr>
        <w:t>leading an All-Wales Diabetes Prevention Programme (</w:t>
      </w:r>
      <w:hyperlink r:id="rId23" w:history="1">
        <w:r w:rsidRPr="00EC0E5A">
          <w:rPr>
            <w:rFonts w:ascii="Verdana" w:eastAsia="Times New Roman" w:hAnsi="Verdana" w:cs="Segoe UI"/>
            <w:color w:val="1978A3"/>
            <w:sz w:val="22"/>
            <w:szCs w:val="22"/>
            <w:u w:val="single"/>
            <w:lang w:eastAsia="en-GB"/>
          </w:rPr>
          <w:t>AWDPP</w:t>
        </w:r>
      </w:hyperlink>
      <w:r w:rsidRPr="00EC0E5A">
        <w:rPr>
          <w:rFonts w:ascii="Verdana" w:eastAsia="Times New Roman" w:hAnsi="Verdana" w:cs="Segoe UI"/>
          <w:color w:val="343A40"/>
          <w:sz w:val="22"/>
          <w:szCs w:val="22"/>
          <w:lang w:eastAsia="en-GB"/>
        </w:rPr>
        <w:t>); primary care </w:t>
      </w:r>
      <w:hyperlink r:id="rId24" w:history="1">
        <w:r w:rsidRPr="00EC0E5A">
          <w:rPr>
            <w:rFonts w:ascii="Verdana" w:eastAsia="Times New Roman" w:hAnsi="Verdana" w:cs="Segoe UI"/>
            <w:color w:val="1978A3"/>
            <w:sz w:val="22"/>
            <w:szCs w:val="22"/>
            <w:u w:val="single"/>
            <w:lang w:eastAsia="en-GB"/>
          </w:rPr>
          <w:t>obesity prevention</w:t>
        </w:r>
      </w:hyperlink>
      <w:r w:rsidRPr="00EC0E5A">
        <w:rPr>
          <w:rFonts w:ascii="Verdana" w:eastAsia="Times New Roman" w:hAnsi="Verdana" w:cs="Segoe UI"/>
          <w:color w:val="343A40"/>
          <w:sz w:val="22"/>
          <w:szCs w:val="22"/>
          <w:lang w:eastAsia="en-GB"/>
        </w:rPr>
        <w:t>; and contributing to development of a </w:t>
      </w:r>
      <w:hyperlink r:id="rId25" w:history="1">
        <w:r w:rsidRPr="00EC0E5A">
          <w:rPr>
            <w:rFonts w:ascii="Verdana" w:eastAsia="Times New Roman" w:hAnsi="Verdana" w:cs="Segoe UI"/>
            <w:color w:val="1978A3"/>
            <w:sz w:val="22"/>
            <w:szCs w:val="22"/>
            <w:u w:val="single"/>
            <w:lang w:eastAsia="en-GB"/>
          </w:rPr>
          <w:t>social prescribing</w:t>
        </w:r>
      </w:hyperlink>
      <w:r w:rsidRPr="00EC0E5A">
        <w:rPr>
          <w:rFonts w:ascii="Verdana" w:eastAsia="Times New Roman" w:hAnsi="Verdana" w:cs="Segoe UI"/>
          <w:color w:val="343A40"/>
          <w:sz w:val="22"/>
          <w:szCs w:val="22"/>
          <w:lang w:eastAsia="en-GB"/>
        </w:rPr>
        <w:t> framework.</w:t>
      </w:r>
    </w:p>
    <w:p w:rsidR="00EC0E5A" w:rsidRPr="00EC0E5A" w:rsidRDefault="00EC0E5A" w:rsidP="000E0D97">
      <w:pPr>
        <w:autoSpaceDE w:val="0"/>
        <w:autoSpaceDN w:val="0"/>
        <w:adjustRightInd w:val="0"/>
        <w:spacing w:line="360" w:lineRule="auto"/>
        <w:ind w:right="260"/>
        <w:jc w:val="both"/>
        <w:rPr>
          <w:rFonts w:ascii="Verdana" w:eastAsia="Times New Roman" w:hAnsi="Verdana" w:cs="Segoe UI"/>
          <w:color w:val="343A40"/>
          <w:sz w:val="22"/>
          <w:szCs w:val="22"/>
          <w:lang w:eastAsia="en-GB"/>
        </w:rPr>
      </w:pPr>
    </w:p>
    <w:p w:rsidR="00EC0E5A" w:rsidRPr="00EC0E5A" w:rsidRDefault="00EC0E5A" w:rsidP="00EC0E5A">
      <w:pPr>
        <w:spacing w:line="360" w:lineRule="auto"/>
        <w:jc w:val="both"/>
        <w:rPr>
          <w:rFonts w:ascii="Verdana" w:hAnsi="Verdana"/>
          <w:sz w:val="22"/>
          <w:szCs w:val="22"/>
        </w:rPr>
      </w:pPr>
      <w:r w:rsidRPr="00EC0E5A">
        <w:rPr>
          <w:rFonts w:ascii="Verdana" w:hAnsi="Verdana"/>
          <w:sz w:val="22"/>
          <w:szCs w:val="22"/>
        </w:rPr>
        <w:t xml:space="preserve">During 2022/23, </w:t>
      </w:r>
      <w:r>
        <w:rPr>
          <w:rFonts w:ascii="Verdana" w:hAnsi="Verdana"/>
          <w:sz w:val="22"/>
          <w:szCs w:val="22"/>
        </w:rPr>
        <w:t xml:space="preserve">the </w:t>
      </w:r>
      <w:r w:rsidRPr="00EC0E5A">
        <w:rPr>
          <w:rFonts w:ascii="Verdana" w:hAnsi="Verdana"/>
          <w:sz w:val="22"/>
          <w:szCs w:val="22"/>
        </w:rPr>
        <w:t xml:space="preserve">Dental Public Health team focussed on re-engagement with the relevant stakeholders to lead, plan and co-ordinate recovery of </w:t>
      </w:r>
      <w:hyperlink r:id="rId26" w:history="1">
        <w:r w:rsidRPr="00EC0E5A">
          <w:rPr>
            <w:rStyle w:val="Hyperlink"/>
            <w:rFonts w:ascii="Verdana" w:hAnsi="Verdana"/>
            <w:color w:val="4472C4" w:themeColor="accent1"/>
            <w:sz w:val="22"/>
            <w:szCs w:val="22"/>
          </w:rPr>
          <w:t>Designed to Smile</w:t>
        </w:r>
      </w:hyperlink>
      <w:r w:rsidRPr="00EC0E5A">
        <w:rPr>
          <w:rFonts w:ascii="Verdana" w:hAnsi="Verdana"/>
          <w:sz w:val="22"/>
          <w:szCs w:val="22"/>
        </w:rPr>
        <w:t xml:space="preserve"> and </w:t>
      </w:r>
      <w:hyperlink r:id="rId27" w:history="1">
        <w:r w:rsidRPr="00EC0E5A">
          <w:rPr>
            <w:rStyle w:val="Hyperlink"/>
            <w:rFonts w:ascii="Verdana" w:hAnsi="Verdana"/>
            <w:color w:val="4472C4" w:themeColor="accent1"/>
            <w:sz w:val="22"/>
            <w:szCs w:val="22"/>
          </w:rPr>
          <w:t>Dental Epidemiology Programmes</w:t>
        </w:r>
      </w:hyperlink>
      <w:r w:rsidRPr="00EC0E5A">
        <w:rPr>
          <w:rFonts w:ascii="Verdana" w:hAnsi="Verdana"/>
          <w:sz w:val="22"/>
          <w:szCs w:val="22"/>
        </w:rPr>
        <w:t xml:space="preserve"> which were severely affected by the COVID19 pandemic. We also worked with the Welsh Government, Health Boards, Health Education and Improvement Wales and other stakeholders to restart the </w:t>
      </w:r>
      <w:hyperlink r:id="rId28" w:history="1">
        <w:r w:rsidRPr="00EC0E5A">
          <w:rPr>
            <w:rStyle w:val="Hyperlink"/>
            <w:rFonts w:ascii="Verdana" w:hAnsi="Verdana"/>
            <w:color w:val="4472C4" w:themeColor="accent1"/>
            <w:sz w:val="22"/>
            <w:szCs w:val="22"/>
          </w:rPr>
          <w:t>GDS Reform Programme</w:t>
        </w:r>
      </w:hyperlink>
      <w:r w:rsidRPr="00EC0E5A">
        <w:rPr>
          <w:rFonts w:ascii="Verdana" w:hAnsi="Verdana"/>
          <w:sz w:val="22"/>
          <w:szCs w:val="22"/>
        </w:rPr>
        <w:t xml:space="preserve"> with key objectives of integrating risk and needs assessment, prevention and evidence based treatments in dental service delivery. Learning from the reform programme should be valuable for Welsh Government, Health Boards and the dental service providers not only in co-designing and implementing a new dental contract but also in setting up a monitoring and improvement system for improved quality, safety and patient outcomes.</w:t>
      </w:r>
    </w:p>
    <w:p w:rsidR="00EC0E5A" w:rsidRPr="00EC0E5A" w:rsidRDefault="00EC0E5A" w:rsidP="00EC0E5A">
      <w:pPr>
        <w:spacing w:line="360" w:lineRule="auto"/>
        <w:ind w:right="118"/>
        <w:jc w:val="both"/>
        <w:rPr>
          <w:rFonts w:ascii="Verdana" w:hAnsi="Verdana"/>
          <w:sz w:val="22"/>
          <w:szCs w:val="22"/>
        </w:rPr>
      </w:pPr>
    </w:p>
    <w:p w:rsidR="00F950EA" w:rsidRPr="00EC0E5A" w:rsidRDefault="00F950EA" w:rsidP="00EC0E5A">
      <w:pPr>
        <w:spacing w:line="360" w:lineRule="auto"/>
        <w:ind w:right="118"/>
        <w:jc w:val="both"/>
        <w:rPr>
          <w:rFonts w:ascii="Verdana" w:hAnsi="Verdana"/>
          <w:sz w:val="22"/>
          <w:szCs w:val="22"/>
        </w:rPr>
      </w:pPr>
      <w:bookmarkStart w:id="5" w:name="_Hlk133964125"/>
      <w:r w:rsidRPr="00EC0E5A">
        <w:rPr>
          <w:rFonts w:ascii="Verdana" w:hAnsi="Verdana"/>
          <w:sz w:val="22"/>
          <w:szCs w:val="22"/>
        </w:rPr>
        <w:t>Headline achievements at the end of the 2022/2023 financial year include:</w:t>
      </w:r>
    </w:p>
    <w:p w:rsidR="00F950EA" w:rsidRPr="00EC0E5A" w:rsidRDefault="00F950EA" w:rsidP="00EC0E5A">
      <w:pPr>
        <w:spacing w:line="360" w:lineRule="auto"/>
        <w:ind w:right="118"/>
        <w:jc w:val="both"/>
        <w:rPr>
          <w:rFonts w:ascii="Verdana" w:hAnsi="Verdana"/>
          <w:sz w:val="22"/>
          <w:szCs w:val="22"/>
        </w:rPr>
      </w:pPr>
    </w:p>
    <w:p w:rsidR="00F950EA" w:rsidRPr="00EC0E5A" w:rsidRDefault="00F950EA" w:rsidP="00EC0E5A">
      <w:pPr>
        <w:pStyle w:val="ListParagraph"/>
        <w:numPr>
          <w:ilvl w:val="0"/>
          <w:numId w:val="29"/>
        </w:numPr>
        <w:spacing w:line="360" w:lineRule="auto"/>
        <w:ind w:left="426" w:right="118"/>
        <w:jc w:val="both"/>
        <w:rPr>
          <w:rFonts w:ascii="Verdana" w:hAnsi="Verdana"/>
        </w:rPr>
      </w:pPr>
      <w:r w:rsidRPr="00EC0E5A">
        <w:rPr>
          <w:rFonts w:ascii="Verdana" w:hAnsi="Verdana"/>
        </w:rPr>
        <w:t xml:space="preserve">Launching the </w:t>
      </w:r>
      <w:hyperlink r:id="rId29" w:history="1">
        <w:r w:rsidRPr="00EC0E5A">
          <w:rPr>
            <w:rStyle w:val="Hyperlink"/>
            <w:rFonts w:ascii="Verdana" w:hAnsi="Verdana"/>
          </w:rPr>
          <w:t>Obesity Prevention Action Plan</w:t>
        </w:r>
      </w:hyperlink>
      <w:r w:rsidRPr="00EC0E5A">
        <w:rPr>
          <w:rFonts w:ascii="Verdana" w:hAnsi="Verdana"/>
        </w:rPr>
        <w:t xml:space="preserve"> and influencing height/weight BMI measurement in the GMS QI QAIF and Community Nursing Specification </w:t>
      </w:r>
    </w:p>
    <w:p w:rsidR="00F950EA" w:rsidRPr="00EC0E5A" w:rsidRDefault="00166930" w:rsidP="00EC0E5A">
      <w:pPr>
        <w:pStyle w:val="ListParagraph"/>
        <w:numPr>
          <w:ilvl w:val="0"/>
          <w:numId w:val="29"/>
        </w:numPr>
        <w:spacing w:line="360" w:lineRule="auto"/>
        <w:ind w:left="426" w:right="118"/>
        <w:jc w:val="both"/>
        <w:rPr>
          <w:rFonts w:ascii="Verdana" w:hAnsi="Verdana"/>
        </w:rPr>
      </w:pPr>
      <w:hyperlink r:id="rId30" w:history="1">
        <w:r w:rsidR="00F950EA" w:rsidRPr="00EC0E5A">
          <w:rPr>
            <w:rStyle w:val="Hyperlink"/>
            <w:rFonts w:ascii="Verdana" w:hAnsi="Verdana" w:cs="SegoeUI"/>
          </w:rPr>
          <w:t>All Wales Diabetes Prevention Programme</w:t>
        </w:r>
      </w:hyperlink>
      <w:r w:rsidR="00F950EA" w:rsidRPr="00EC0E5A">
        <w:rPr>
          <w:rFonts w:ascii="Verdana" w:hAnsi="Verdana" w:cs="SegoeUI"/>
          <w:color w:val="000000"/>
        </w:rPr>
        <w:t xml:space="preserve"> moving to implementation phase – at the end of March 2023 1,664 interventions were completed across the participating clusters  </w:t>
      </w:r>
    </w:p>
    <w:p w:rsidR="00F950EA" w:rsidRPr="00EC0E5A" w:rsidRDefault="00166930" w:rsidP="00EC0E5A">
      <w:pPr>
        <w:pStyle w:val="ListParagraph"/>
        <w:numPr>
          <w:ilvl w:val="0"/>
          <w:numId w:val="29"/>
        </w:numPr>
        <w:spacing w:line="360" w:lineRule="auto"/>
        <w:ind w:left="426" w:right="118"/>
        <w:jc w:val="both"/>
        <w:rPr>
          <w:rFonts w:ascii="Verdana" w:hAnsi="Verdana"/>
        </w:rPr>
      </w:pPr>
      <w:hyperlink r:id="rId31" w:history="1">
        <w:r w:rsidR="00F950EA" w:rsidRPr="00EC0E5A">
          <w:rPr>
            <w:rStyle w:val="Hyperlink"/>
            <w:rFonts w:ascii="Verdana" w:hAnsi="Verdana" w:cs="SegoeUI"/>
          </w:rPr>
          <w:t>Social Prescribing Interfaces paper</w:t>
        </w:r>
      </w:hyperlink>
      <w:r w:rsidR="00F950EA" w:rsidRPr="00EC0E5A">
        <w:rPr>
          <w:rFonts w:ascii="Verdana" w:hAnsi="Verdana" w:cs="SegoeUI"/>
          <w:color w:val="000000"/>
        </w:rPr>
        <w:t xml:space="preserve"> published</w:t>
      </w:r>
    </w:p>
    <w:p w:rsidR="00F950EA" w:rsidRPr="00EC0E5A" w:rsidRDefault="00166930" w:rsidP="00EC0E5A">
      <w:pPr>
        <w:pStyle w:val="ListParagraph"/>
        <w:numPr>
          <w:ilvl w:val="0"/>
          <w:numId w:val="29"/>
        </w:numPr>
        <w:spacing w:line="360" w:lineRule="auto"/>
        <w:ind w:left="426" w:right="118"/>
        <w:jc w:val="both"/>
        <w:rPr>
          <w:rFonts w:ascii="Verdana" w:hAnsi="Verdana"/>
        </w:rPr>
      </w:pPr>
      <w:hyperlink r:id="rId32" w:history="1">
        <w:r w:rsidR="00F950EA" w:rsidRPr="00EC0E5A">
          <w:rPr>
            <w:rFonts w:ascii="Verdana" w:eastAsia="Times New Roman" w:hAnsi="Verdana" w:cs="Segoe UI"/>
            <w:color w:val="4472C4" w:themeColor="accent1"/>
            <w:u w:val="single"/>
            <w:lang w:eastAsia="en-GB"/>
          </w:rPr>
          <w:t>Cluster Planning Support Portal</w:t>
        </w:r>
      </w:hyperlink>
      <w:r w:rsidR="00F950EA" w:rsidRPr="00EC0E5A">
        <w:rPr>
          <w:rFonts w:ascii="Verdana" w:eastAsia="Times New Roman" w:hAnsi="Verdana" w:cs="Segoe UI"/>
          <w:color w:val="4472C4" w:themeColor="accent1"/>
          <w:lang w:eastAsia="en-GB"/>
        </w:rPr>
        <w:t xml:space="preserve"> </w:t>
      </w:r>
      <w:r w:rsidR="00F950EA" w:rsidRPr="00EC0E5A">
        <w:rPr>
          <w:rFonts w:ascii="Verdana" w:hAnsi="Verdana" w:cs="SegoeUI"/>
          <w:color w:val="000000"/>
        </w:rPr>
        <w:t xml:space="preserve">live and continuous improvement to the </w:t>
      </w:r>
      <w:hyperlink r:id="rId33" w:history="1">
        <w:r w:rsidR="00F950EA" w:rsidRPr="00EC0E5A">
          <w:rPr>
            <w:rStyle w:val="Hyperlink"/>
            <w:rFonts w:ascii="Verdana" w:hAnsi="Verdana" w:cs="SegoeUI"/>
          </w:rPr>
          <w:t>Primary Care One website</w:t>
        </w:r>
      </w:hyperlink>
      <w:r w:rsidR="00F950EA" w:rsidRPr="00EC0E5A">
        <w:rPr>
          <w:rFonts w:ascii="Verdana" w:hAnsi="Verdana" w:cs="SegoeUI"/>
          <w:color w:val="000000"/>
        </w:rPr>
        <w:t xml:space="preserve"> that also hosts the SPPC web pages; 65,000 page views since November 2022 </w:t>
      </w:r>
    </w:p>
    <w:p w:rsidR="00F950EA" w:rsidRPr="00EC0E5A" w:rsidRDefault="00166930" w:rsidP="00EC0E5A">
      <w:pPr>
        <w:pStyle w:val="ListParagraph"/>
        <w:numPr>
          <w:ilvl w:val="0"/>
          <w:numId w:val="29"/>
        </w:numPr>
        <w:autoSpaceDE w:val="0"/>
        <w:autoSpaceDN w:val="0"/>
        <w:adjustRightInd w:val="0"/>
        <w:spacing w:line="360" w:lineRule="auto"/>
        <w:ind w:left="426" w:right="118"/>
        <w:jc w:val="both"/>
        <w:rPr>
          <w:rFonts w:ascii="Verdana" w:hAnsi="Verdana" w:cs="SegoeUI"/>
          <w:color w:val="000000"/>
        </w:rPr>
      </w:pPr>
      <w:hyperlink r:id="rId34" w:history="1">
        <w:r w:rsidR="00F950EA" w:rsidRPr="00AE1855">
          <w:rPr>
            <w:rStyle w:val="Hyperlink"/>
            <w:rFonts w:ascii="Verdana" w:hAnsi="Verdana" w:cs="SegoeUI"/>
          </w:rPr>
          <w:t>Monitoring and Evaluation Framework for the Primary Care Model for Wales</w:t>
        </w:r>
      </w:hyperlink>
      <w:r w:rsidR="00F950EA" w:rsidRPr="00EC0E5A">
        <w:rPr>
          <w:rFonts w:ascii="Verdana" w:hAnsi="Verdana" w:cs="SegoeUI"/>
          <w:color w:val="000000"/>
        </w:rPr>
        <w:t xml:space="preserve"> (PCMW) / ACD Programme released, </w:t>
      </w:r>
      <w:hyperlink r:id="rId35" w:history="1">
        <w:r w:rsidR="00F950EA" w:rsidRPr="00AE1855">
          <w:rPr>
            <w:rStyle w:val="Hyperlink"/>
            <w:rFonts w:ascii="Verdana" w:hAnsi="Verdana" w:cs="SegoeUI"/>
          </w:rPr>
          <w:t>Cluster Development Framework</w:t>
        </w:r>
      </w:hyperlink>
      <w:r w:rsidR="00F950EA" w:rsidRPr="00EC0E5A">
        <w:rPr>
          <w:rFonts w:ascii="Verdana" w:hAnsi="Verdana" w:cs="SegoeUI"/>
          <w:color w:val="000000"/>
        </w:rPr>
        <w:t xml:space="preserve"> and </w:t>
      </w:r>
      <w:hyperlink r:id="rId36" w:history="1">
        <w:r w:rsidR="00AE1855" w:rsidRPr="00AE1855">
          <w:rPr>
            <w:rStyle w:val="Hyperlink"/>
            <w:rFonts w:ascii="Verdana" w:hAnsi="Verdana" w:cs="SegoeUI"/>
          </w:rPr>
          <w:t xml:space="preserve">Cluster </w:t>
        </w:r>
        <w:r w:rsidR="00F950EA" w:rsidRPr="00AE1855">
          <w:rPr>
            <w:rStyle w:val="Hyperlink"/>
            <w:rFonts w:ascii="Verdana" w:hAnsi="Verdana" w:cs="SegoeUI"/>
          </w:rPr>
          <w:t>Peer Review</w:t>
        </w:r>
      </w:hyperlink>
      <w:r w:rsidR="00F950EA" w:rsidRPr="00EC0E5A">
        <w:rPr>
          <w:rFonts w:ascii="Verdana" w:hAnsi="Verdana" w:cs="SegoeUI"/>
          <w:color w:val="000000"/>
        </w:rPr>
        <w:t xml:space="preserve"> methodology</w:t>
      </w:r>
    </w:p>
    <w:p w:rsidR="00F950EA" w:rsidRPr="00EC0E5A" w:rsidRDefault="00166930" w:rsidP="00EC0E5A">
      <w:pPr>
        <w:pStyle w:val="ListParagraph"/>
        <w:numPr>
          <w:ilvl w:val="0"/>
          <w:numId w:val="29"/>
        </w:numPr>
        <w:autoSpaceDE w:val="0"/>
        <w:autoSpaceDN w:val="0"/>
        <w:adjustRightInd w:val="0"/>
        <w:spacing w:line="360" w:lineRule="auto"/>
        <w:ind w:left="426" w:right="118"/>
        <w:jc w:val="both"/>
        <w:rPr>
          <w:rFonts w:ascii="Verdana" w:hAnsi="Verdana" w:cs="SegoeUI"/>
          <w:color w:val="000000"/>
        </w:rPr>
      </w:pPr>
      <w:hyperlink r:id="rId37" w:history="1">
        <w:r w:rsidR="00F950EA" w:rsidRPr="00AE1855">
          <w:rPr>
            <w:rStyle w:val="Hyperlink"/>
            <w:rFonts w:ascii="Verdana" w:hAnsi="Verdana" w:cs="SegoeUI"/>
          </w:rPr>
          <w:t>Greener Primary Care Wales</w:t>
        </w:r>
      </w:hyperlink>
      <w:r w:rsidR="00F950EA" w:rsidRPr="00EC0E5A">
        <w:rPr>
          <w:rFonts w:ascii="Verdana" w:hAnsi="Verdana" w:cs="SegoeUI"/>
          <w:color w:val="000000"/>
        </w:rPr>
        <w:t xml:space="preserve"> Framework and Award Scheme - </w:t>
      </w:r>
      <w:r w:rsidR="00F950EA" w:rsidRPr="00EC0E5A">
        <w:rPr>
          <w:rFonts w:ascii="Verdana" w:eastAsia="Verdana" w:hAnsi="Verdana" w:cs="Verdana"/>
          <w:color w:val="000000" w:themeColor="text1"/>
        </w:rPr>
        <w:t>16 bronze, 11 silver and 8 gold awards given</w:t>
      </w:r>
    </w:p>
    <w:p w:rsidR="00F950EA" w:rsidRPr="00EC0E5A" w:rsidRDefault="00166930" w:rsidP="00EC0E5A">
      <w:pPr>
        <w:pStyle w:val="ListParagraph"/>
        <w:numPr>
          <w:ilvl w:val="0"/>
          <w:numId w:val="29"/>
        </w:numPr>
        <w:autoSpaceDE w:val="0"/>
        <w:autoSpaceDN w:val="0"/>
        <w:adjustRightInd w:val="0"/>
        <w:spacing w:line="360" w:lineRule="auto"/>
        <w:ind w:left="426" w:right="118"/>
        <w:jc w:val="both"/>
        <w:rPr>
          <w:rFonts w:ascii="Verdana" w:hAnsi="Verdana" w:cs="SegoeUI"/>
          <w:color w:val="000000"/>
        </w:rPr>
      </w:pPr>
      <w:hyperlink r:id="rId38" w:history="1">
        <w:r w:rsidR="00F950EA" w:rsidRPr="00AE1855">
          <w:rPr>
            <w:rStyle w:val="Hyperlink"/>
            <w:rFonts w:ascii="Verdana" w:hAnsi="Verdana" w:cs="SegoeUI"/>
          </w:rPr>
          <w:t>End of Pacesetter Programme 2020/22 report</w:t>
        </w:r>
      </w:hyperlink>
      <w:r w:rsidR="00F950EA" w:rsidRPr="00EC0E5A">
        <w:rPr>
          <w:rFonts w:ascii="Verdana" w:hAnsi="Verdana" w:cs="SegoeUI"/>
          <w:color w:val="000000"/>
        </w:rPr>
        <w:t xml:space="preserve"> published; and work completed to articulate the outputs and expected outcomes for the </w:t>
      </w:r>
      <w:hyperlink r:id="rId39" w:history="1">
        <w:r w:rsidR="00F950EA" w:rsidRPr="00AE1855">
          <w:rPr>
            <w:rStyle w:val="Hyperlink"/>
            <w:rFonts w:ascii="Verdana" w:hAnsi="Verdana" w:cs="SegoeUI"/>
          </w:rPr>
          <w:t>SPPC Fund 2022</w:t>
        </w:r>
      </w:hyperlink>
      <w:r w:rsidR="00F950EA" w:rsidRPr="00EC0E5A">
        <w:rPr>
          <w:rFonts w:ascii="Verdana" w:hAnsi="Verdana" w:cs="SegoeUI"/>
          <w:color w:val="000000"/>
        </w:rPr>
        <w:t xml:space="preserve"> projects – supporting the system to development monitoring and evaluation processes.</w:t>
      </w:r>
    </w:p>
    <w:p w:rsidR="00F950EA" w:rsidRPr="00EC0E5A" w:rsidRDefault="00F950EA" w:rsidP="00EC0E5A">
      <w:pPr>
        <w:pStyle w:val="ListParagraph"/>
        <w:numPr>
          <w:ilvl w:val="0"/>
          <w:numId w:val="29"/>
        </w:numPr>
        <w:autoSpaceDE w:val="0"/>
        <w:autoSpaceDN w:val="0"/>
        <w:adjustRightInd w:val="0"/>
        <w:spacing w:line="360" w:lineRule="auto"/>
        <w:ind w:left="426" w:right="118"/>
        <w:jc w:val="both"/>
        <w:rPr>
          <w:rFonts w:ascii="Verdana" w:hAnsi="Verdana" w:cs="SegoeUI"/>
          <w:color w:val="000000"/>
        </w:rPr>
      </w:pPr>
      <w:r w:rsidRPr="00EC0E5A">
        <w:rPr>
          <w:rFonts w:ascii="Verdana" w:hAnsi="Verdana" w:cs="SegoeUI"/>
          <w:color w:val="000000"/>
        </w:rPr>
        <w:t xml:space="preserve">Introduction of a new monitoring process for the </w:t>
      </w:r>
      <w:hyperlink r:id="rId40" w:history="1">
        <w:r w:rsidRPr="00AE1855">
          <w:rPr>
            <w:rStyle w:val="Hyperlink"/>
            <w:rFonts w:ascii="Verdana" w:hAnsi="Verdana" w:cs="SegoeUI"/>
          </w:rPr>
          <w:t>Designed to Smile</w:t>
        </w:r>
      </w:hyperlink>
      <w:r w:rsidRPr="00EC0E5A">
        <w:rPr>
          <w:rFonts w:ascii="Verdana" w:hAnsi="Verdana" w:cs="SegoeUI"/>
          <w:color w:val="000000"/>
        </w:rPr>
        <w:t xml:space="preserve"> programme across Wales </w:t>
      </w:r>
    </w:p>
    <w:p w:rsidR="00F950EA" w:rsidRPr="00EC0E5A" w:rsidRDefault="00F950EA" w:rsidP="00EC0E5A">
      <w:pPr>
        <w:pStyle w:val="ListParagraph"/>
        <w:numPr>
          <w:ilvl w:val="0"/>
          <w:numId w:val="29"/>
        </w:numPr>
        <w:autoSpaceDE w:val="0"/>
        <w:autoSpaceDN w:val="0"/>
        <w:adjustRightInd w:val="0"/>
        <w:spacing w:line="360" w:lineRule="auto"/>
        <w:ind w:left="426" w:right="118"/>
        <w:jc w:val="both"/>
        <w:rPr>
          <w:rFonts w:ascii="Verdana" w:hAnsi="Verdana"/>
        </w:rPr>
      </w:pPr>
      <w:r w:rsidRPr="00EC0E5A">
        <w:rPr>
          <w:rFonts w:ascii="Verdana" w:hAnsi="Verdana" w:cs="SegoeUI"/>
          <w:color w:val="000000"/>
        </w:rPr>
        <w:t xml:space="preserve">Commenced work to deliver the </w:t>
      </w:r>
      <w:r w:rsidRPr="00EC0E5A">
        <w:rPr>
          <w:rFonts w:ascii="Verdana" w:hAnsi="Verdana"/>
        </w:rPr>
        <w:t>dental health survey of year 1 children – survey protocol reviewed, training and Calibration event and field trip held and data collection underway</w:t>
      </w:r>
    </w:p>
    <w:p w:rsidR="00F950EA" w:rsidRPr="00EC0E5A" w:rsidRDefault="00F950EA" w:rsidP="00EC0E5A">
      <w:pPr>
        <w:pStyle w:val="ListParagraph"/>
        <w:numPr>
          <w:ilvl w:val="0"/>
          <w:numId w:val="29"/>
        </w:numPr>
        <w:autoSpaceDE w:val="0"/>
        <w:autoSpaceDN w:val="0"/>
        <w:adjustRightInd w:val="0"/>
        <w:spacing w:line="360" w:lineRule="auto"/>
        <w:ind w:left="426" w:right="118"/>
        <w:jc w:val="both"/>
        <w:rPr>
          <w:rFonts w:ascii="Verdana" w:hAnsi="Verdana"/>
        </w:rPr>
      </w:pPr>
      <w:r w:rsidRPr="00EC0E5A">
        <w:rPr>
          <w:rFonts w:ascii="Verdana" w:hAnsi="Verdana"/>
        </w:rPr>
        <w:t xml:space="preserve">Dental public health team provided its expertise to </w:t>
      </w:r>
      <w:r w:rsidRPr="00EC0E5A">
        <w:rPr>
          <w:rFonts w:ascii="Verdana" w:hAnsi="Verdana" w:cs="SegoeUI"/>
          <w:color w:val="000000"/>
        </w:rPr>
        <w:t xml:space="preserve">the restart of the </w:t>
      </w:r>
      <w:hyperlink r:id="rId41" w:history="1">
        <w:r w:rsidRPr="00AE1855">
          <w:rPr>
            <w:rStyle w:val="Hyperlink"/>
            <w:rFonts w:ascii="Verdana" w:hAnsi="Verdana" w:cs="SegoeUI"/>
          </w:rPr>
          <w:t>Dental Reform Programme</w:t>
        </w:r>
      </w:hyperlink>
      <w:r w:rsidRPr="00EC0E5A">
        <w:rPr>
          <w:rFonts w:ascii="Verdana" w:hAnsi="Verdana" w:cs="SegoeUI"/>
          <w:color w:val="000000"/>
        </w:rPr>
        <w:t xml:space="preserve"> across Wales. </w:t>
      </w:r>
      <w:r w:rsidRPr="00EC0E5A">
        <w:rPr>
          <w:rFonts w:ascii="Verdana" w:hAnsi="Verdana"/>
        </w:rPr>
        <w:t xml:space="preserve">We also hosted the bi-annual GDS Quality and Safety Forum which brought together all stakeholders to discuss various aspects of quality and safety in dentistry and share learning. </w:t>
      </w:r>
    </w:p>
    <w:p w:rsidR="00F950EA" w:rsidRDefault="00F950EA" w:rsidP="00EC0E5A">
      <w:pPr>
        <w:autoSpaceDE w:val="0"/>
        <w:autoSpaceDN w:val="0"/>
        <w:adjustRightInd w:val="0"/>
        <w:spacing w:line="360" w:lineRule="auto"/>
        <w:ind w:right="118"/>
        <w:jc w:val="both"/>
        <w:rPr>
          <w:rFonts w:ascii="Verdana" w:hAnsi="Verdana" w:cs="SegoeUI"/>
          <w:color w:val="000000"/>
          <w:sz w:val="22"/>
          <w:szCs w:val="22"/>
        </w:rPr>
      </w:pPr>
      <w:r w:rsidRPr="00EC0E5A">
        <w:rPr>
          <w:rFonts w:ascii="Verdana" w:hAnsi="Verdana" w:cs="SegoeUI"/>
          <w:color w:val="000000"/>
          <w:sz w:val="22"/>
          <w:szCs w:val="22"/>
        </w:rPr>
        <w:t>You can read more about this work in the following pages.</w:t>
      </w:r>
    </w:p>
    <w:p w:rsidR="00EC0E5A" w:rsidRDefault="00EC0E5A" w:rsidP="00EC0E5A">
      <w:pPr>
        <w:autoSpaceDE w:val="0"/>
        <w:autoSpaceDN w:val="0"/>
        <w:adjustRightInd w:val="0"/>
        <w:spacing w:line="360" w:lineRule="auto"/>
        <w:ind w:right="118"/>
        <w:jc w:val="both"/>
        <w:rPr>
          <w:rFonts w:ascii="Verdana" w:hAnsi="Verdana" w:cs="SegoeUI"/>
          <w:color w:val="000000"/>
          <w:sz w:val="22"/>
          <w:szCs w:val="22"/>
        </w:rPr>
      </w:pPr>
    </w:p>
    <w:p w:rsidR="00EC0E5A" w:rsidRDefault="00EC0E5A" w:rsidP="00EC0E5A">
      <w:pPr>
        <w:autoSpaceDE w:val="0"/>
        <w:autoSpaceDN w:val="0"/>
        <w:adjustRightInd w:val="0"/>
        <w:spacing w:line="360" w:lineRule="auto"/>
        <w:ind w:right="118"/>
        <w:jc w:val="both"/>
        <w:rPr>
          <w:rFonts w:ascii="Verdana" w:hAnsi="Verdana" w:cs="SegoeUI"/>
          <w:color w:val="000000"/>
          <w:sz w:val="22"/>
          <w:szCs w:val="22"/>
        </w:rPr>
      </w:pPr>
    </w:p>
    <w:bookmarkEnd w:id="5"/>
    <w:p w:rsidR="00F547C9" w:rsidRDefault="00175A1C" w:rsidP="00F950EA">
      <w:pPr>
        <w:rPr>
          <w:rFonts w:ascii="Verdana" w:hAnsi="Verdana" w:cs="SegoeUI"/>
          <w:color w:val="000000"/>
          <w:sz w:val="22"/>
          <w:szCs w:val="22"/>
        </w:rPr>
      </w:pPr>
      <w:r>
        <w:rPr>
          <w:noProof/>
          <w:lang w:eastAsia="en-GB"/>
        </w:rPr>
        <mc:AlternateContent>
          <mc:Choice Requires="wps">
            <w:drawing>
              <wp:anchor distT="0" distB="0" distL="114300" distR="114300" simplePos="0" relativeHeight="251709440" behindDoc="1" locked="0" layoutInCell="1" allowOverlap="1" wp14:anchorId="391B340C" wp14:editId="3816CAAB">
                <wp:simplePos x="0" y="0"/>
                <wp:positionH relativeFrom="margin">
                  <wp:align>right</wp:align>
                </wp:positionH>
                <wp:positionV relativeFrom="paragraph">
                  <wp:posOffset>-106045</wp:posOffset>
                </wp:positionV>
                <wp:extent cx="6650355" cy="734518"/>
                <wp:effectExtent l="0" t="0" r="0" b="8890"/>
                <wp:wrapNone/>
                <wp:docPr id="37" name="Text Box 37"/>
                <wp:cNvGraphicFramePr/>
                <a:graphic xmlns:a="http://schemas.openxmlformats.org/drawingml/2006/main">
                  <a:graphicData uri="http://schemas.microsoft.com/office/word/2010/wordprocessingShape">
                    <wps:wsp>
                      <wps:cNvSpPr txBox="1"/>
                      <wps:spPr>
                        <a:xfrm>
                          <a:off x="0" y="0"/>
                          <a:ext cx="6650355" cy="734518"/>
                        </a:xfrm>
                        <a:prstGeom prst="rect">
                          <a:avLst/>
                        </a:prstGeom>
                        <a:gradFill>
                          <a:gsLst>
                            <a:gs pos="0">
                              <a:srgbClr val="3A5384"/>
                            </a:gs>
                            <a:gs pos="100000">
                              <a:srgbClr val="34B9CE"/>
                            </a:gs>
                          </a:gsLst>
                          <a:lin ang="0" scaled="0"/>
                        </a:gradFill>
                        <a:ln w="6350">
                          <a:noFill/>
                        </a:ln>
                      </wps:spPr>
                      <wps:txbx>
                        <w:txbxContent>
                          <w:p w:rsidR="00175A1C" w:rsidRDefault="00175A1C" w:rsidP="00175A1C">
                            <w:pPr>
                              <w:pStyle w:val="Heading"/>
                              <w:rPr>
                                <w:sz w:val="34"/>
                              </w:rPr>
                            </w:pPr>
                            <w:r>
                              <w:rPr>
                                <w:sz w:val="34"/>
                              </w:rPr>
                              <w:t xml:space="preserve">Primary Care Prevention </w:t>
                            </w:r>
                          </w:p>
                          <w:p w:rsidR="00175A1C" w:rsidRPr="00570B59" w:rsidRDefault="00175A1C" w:rsidP="00175A1C">
                            <w:pPr>
                              <w:rPr>
                                <w:i/>
                                <w:iCs/>
                                <w:color w:val="FFFFFF" w:themeColor="background1"/>
                              </w:rPr>
                            </w:pPr>
                            <w:r w:rsidRPr="00570B59">
                              <w:rPr>
                                <w:rFonts w:ascii="SegoeUI" w:hAnsi="SegoeUI" w:cs="SegoeUI"/>
                                <w:i/>
                                <w:iCs/>
                                <w:color w:val="FFFFFF" w:themeColor="background1"/>
                              </w:rPr>
                              <w:t>Developing a coordinated approach to prevention in primary &amp; community care</w:t>
                            </w:r>
                            <w:r w:rsidR="00570B59">
                              <w:rPr>
                                <w:rFonts w:ascii="SegoeUI" w:hAnsi="SegoeUI" w:cs="SegoeUI"/>
                                <w:i/>
                                <w:iCs/>
                                <w:color w:val="FFFFFF" w:themeColor="background1"/>
                              </w:rPr>
                              <w:t xml:space="preserve"> </w:t>
                            </w:r>
                            <w:r w:rsidR="00570B59" w:rsidRPr="00570B59">
                              <w:rPr>
                                <w:rFonts w:ascii="Verdana" w:hAnsi="Verdana" w:cs="CIDFont+F2"/>
                                <w:i/>
                                <w:iCs/>
                                <w:color w:val="FFFFFF" w:themeColor="background1"/>
                              </w:rPr>
                              <w:t>to reduce the avoidable burden of disease and improving population health</w:t>
                            </w:r>
                          </w:p>
                          <w:p w:rsidR="00175A1C" w:rsidRDefault="00175A1C" w:rsidP="00175A1C">
                            <w:pPr>
                              <w:pStyle w:val="Heading"/>
                              <w:rPr>
                                <w:sz w:val="34"/>
                              </w:rPr>
                            </w:pPr>
                          </w:p>
                        </w:txbxContent>
                      </wps:txbx>
                      <wps:bodyPr rot="0" spcFirstLastPara="0" vertOverflow="clip" horzOverflow="clip"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1B340C" id="Text Box 37" o:spid="_x0000_s1032" type="#_x0000_t202" style="position:absolute;margin-left:472.45pt;margin-top:-8.35pt;width:523.65pt;height:57.85pt;z-index:-2516070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" fillcolor="#3a5384" stroked="f" strokeweight=".5pt">
                <v:fill color2="#34b9ce" angle="90" focus="100%" type="gradient">
                  <o:fill v:ext="view" type="gradientUnscaled"/>
                </v:fill>
                <v:textbox inset="5mm">
                  <w:txbxContent>
                    <w:p w:rsidR="00175A1C" w:rsidRDefault="00175A1C" w:rsidP="00175A1C">
                      <w:pPr>
                        <w:pStyle w:val="Heading"/>
                        <w:rPr>
                          <w:sz w:val="34"/>
                        </w:rPr>
                      </w:pPr>
                      <w:r>
                        <w:rPr>
                          <w:sz w:val="34"/>
                        </w:rPr>
                        <w:t xml:space="preserve">Primary Care Prevention </w:t>
                      </w:r>
                    </w:p>
                    <w:p w:rsidR="00175A1C" w:rsidRPr="00570B59" w:rsidRDefault="00175A1C" w:rsidP="00175A1C">
                      <w:pPr>
                        <w:rPr>
                          <w:i/>
                          <w:iCs/>
                          <w:color w:val="FFFFFF" w:themeColor="background1"/>
                        </w:rPr>
                      </w:pPr>
                      <w:r w:rsidRPr="00570B59">
                        <w:rPr>
                          <w:rFonts w:ascii="SegoeUI" w:hAnsi="SegoeUI" w:cs="SegoeUI"/>
                          <w:i/>
                          <w:iCs/>
                          <w:color w:val="FFFFFF" w:themeColor="background1"/>
                        </w:rPr>
                        <w:t>Developing a coordinated approach to prevention in primary &amp; community care</w:t>
                      </w:r>
                      <w:r w:rsidR="00570B59">
                        <w:rPr>
                          <w:rFonts w:ascii="SegoeUI" w:hAnsi="SegoeUI" w:cs="SegoeUI"/>
                          <w:i/>
                          <w:iCs/>
                          <w:color w:val="FFFFFF" w:themeColor="background1"/>
                        </w:rPr>
                        <w:t xml:space="preserve"> </w:t>
                      </w:r>
                      <w:r w:rsidR="00570B59" w:rsidRPr="00570B59">
                        <w:rPr>
                          <w:rFonts w:ascii="Verdana" w:hAnsi="Verdana" w:cs="CIDFont+F2"/>
                          <w:i/>
                          <w:iCs/>
                          <w:color w:val="FFFFFF" w:themeColor="background1"/>
                        </w:rPr>
                        <w:t>to reduce the avoidable burden of disease and improving population health</w:t>
                      </w:r>
                    </w:p>
                    <w:p w:rsidR="00175A1C" w:rsidRDefault="00175A1C" w:rsidP="00175A1C">
                      <w:pPr>
                        <w:pStyle w:val="Heading"/>
                        <w:rPr>
                          <w:sz w:val="34"/>
                        </w:rPr>
                      </w:pPr>
                    </w:p>
                  </w:txbxContent>
                </v:textbox>
                <w10:wrap anchorx="margin"/>
              </v:shape>
            </w:pict>
          </mc:Fallback>
        </mc:AlternateContent>
      </w:r>
      <w:bookmarkStart w:id="6" w:name="_Toc133448225"/>
    </w:p>
    <w:p w:rsidR="00F547C9" w:rsidRDefault="00F547C9" w:rsidP="00F950EA">
      <w:pPr>
        <w:rPr>
          <w:rFonts w:ascii="Verdana" w:hAnsi="Verdana" w:cs="SegoeUI"/>
          <w:color w:val="000000"/>
          <w:sz w:val="22"/>
          <w:szCs w:val="22"/>
        </w:rPr>
      </w:pPr>
    </w:p>
    <w:p w:rsidR="00F547C9" w:rsidRDefault="00F547C9" w:rsidP="00F950EA">
      <w:pPr>
        <w:rPr>
          <w:rFonts w:ascii="Verdana" w:hAnsi="Verdana" w:cs="SegoeUI"/>
          <w:color w:val="000000"/>
          <w:sz w:val="22"/>
          <w:szCs w:val="22"/>
        </w:rPr>
      </w:pPr>
    </w:p>
    <w:p w:rsidR="00F547C9" w:rsidRDefault="00F547C9" w:rsidP="00F950EA">
      <w:pPr>
        <w:rPr>
          <w:rFonts w:ascii="Verdana" w:hAnsi="Verdana" w:cs="SegoeUI"/>
          <w:color w:val="000000"/>
          <w:sz w:val="22"/>
          <w:szCs w:val="22"/>
        </w:rPr>
      </w:pPr>
    </w:p>
    <w:p w:rsidR="00F547C9" w:rsidRDefault="00F547C9" w:rsidP="00F950EA">
      <w:pPr>
        <w:rPr>
          <w:rFonts w:ascii="Verdana" w:hAnsi="Verdana" w:cs="SegoeUI"/>
          <w:color w:val="000000"/>
          <w:sz w:val="22"/>
          <w:szCs w:val="22"/>
        </w:rPr>
      </w:pPr>
    </w:p>
    <w:p w:rsidR="00175A1C" w:rsidRPr="00F547C9" w:rsidRDefault="00175A1C" w:rsidP="00F950EA">
      <w:pPr>
        <w:rPr>
          <w:rFonts w:ascii="Verdana" w:hAnsi="Verdana" w:cs="SegoeUI"/>
          <w:color w:val="000000"/>
          <w:sz w:val="22"/>
          <w:szCs w:val="22"/>
        </w:rPr>
      </w:pPr>
      <w:r w:rsidRPr="00F950EA">
        <w:rPr>
          <w:rFonts w:ascii="Verdana" w:hAnsi="Verdana" w:cs="Arial"/>
          <w:b/>
          <w:bCs/>
          <w:sz w:val="28"/>
          <w:szCs w:val="28"/>
        </w:rPr>
        <w:t>Obesity Prevention</w:t>
      </w:r>
      <w:bookmarkEnd w:id="6"/>
    </w:p>
    <w:p w:rsidR="00175A1C" w:rsidRDefault="00175A1C" w:rsidP="00175A1C">
      <w:pPr>
        <w:spacing w:line="360" w:lineRule="auto"/>
        <w:jc w:val="both"/>
        <w:rPr>
          <w:rFonts w:ascii="Verdana" w:eastAsia="Verdana" w:hAnsi="Verdana" w:cs="Verdana"/>
          <w:color w:val="000000" w:themeColor="text1"/>
          <w:sz w:val="22"/>
          <w:szCs w:val="22"/>
        </w:rPr>
      </w:pPr>
      <w:r>
        <w:rPr>
          <w:noProof/>
          <w:lang w:eastAsia="en-GB"/>
        </w:rPr>
        <w:drawing>
          <wp:anchor distT="0" distB="0" distL="114300" distR="114300" simplePos="0" relativeHeight="251705344" behindDoc="0" locked="0" layoutInCell="1" allowOverlap="1" wp14:anchorId="63A89416" wp14:editId="44E419A4">
            <wp:simplePos x="0" y="0"/>
            <wp:positionH relativeFrom="margin">
              <wp:align>left</wp:align>
            </wp:positionH>
            <wp:positionV relativeFrom="paragraph">
              <wp:posOffset>107950</wp:posOffset>
            </wp:positionV>
            <wp:extent cx="2496820" cy="1394460"/>
            <wp:effectExtent l="19050" t="19050" r="17780" b="15240"/>
            <wp:wrapThrough wrapText="bothSides">
              <wp:wrapPolygon edited="0">
                <wp:start x="-165" y="-295"/>
                <wp:lineTo x="-165" y="21541"/>
                <wp:lineTo x="21589" y="21541"/>
                <wp:lineTo x="21589" y="-295"/>
                <wp:lineTo x="-165" y="-295"/>
              </wp:wrapPolygon>
            </wp:wrapThrough>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496820" cy="1394460"/>
                    </a:xfrm>
                    <a:prstGeom prst="rect">
                      <a:avLst/>
                    </a:prstGeom>
                    <a:noFill/>
                    <a:ln w="9525">
                      <a:solidFill>
                        <a:schemeClr val="accent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ascii="Verdana" w:eastAsia="Verdana" w:hAnsi="Verdana" w:cs="Verdana"/>
          <w:color w:val="000000" w:themeColor="text1"/>
          <w:sz w:val="22"/>
          <w:szCs w:val="22"/>
        </w:rPr>
        <w:t xml:space="preserve">The </w:t>
      </w:r>
      <w:hyperlink r:id="rId43" w:tgtFrame="_blank" w:history="1">
        <w:r>
          <w:rPr>
            <w:rStyle w:val="Hyperlink"/>
            <w:rFonts w:ascii="Verdana" w:hAnsi="Verdana"/>
            <w:sz w:val="22"/>
            <w:szCs w:val="22"/>
          </w:rPr>
          <w:t>Primary Care Obesity Prevention (PCOP) Action Plan 2022-24</w:t>
        </w:r>
      </w:hyperlink>
      <w:r>
        <w:rPr>
          <w:rStyle w:val="Hyperlink"/>
          <w:rFonts w:ascii="Verdana" w:hAnsi="Verdana"/>
          <w:sz w:val="22"/>
          <w:szCs w:val="22"/>
        </w:rPr>
        <w:t xml:space="preserve"> </w:t>
      </w:r>
      <w:r>
        <w:rPr>
          <w:rFonts w:ascii="Verdana" w:eastAsia="Verdana" w:hAnsi="Verdana" w:cs="Verdana"/>
          <w:color w:val="000000" w:themeColor="text1"/>
          <w:sz w:val="22"/>
          <w:szCs w:val="22"/>
        </w:rPr>
        <w:t>was published in early 2022/23 and a programme management approach was implemented to support its delivery. A new chairperson, the Interim Director of the Health &amp; Wellbeing Directorate, Public Health Wales (PHW), was invited to chair the PCOP Steering Group to help drive forward the delivery of the Action Plan.  </w:t>
      </w:r>
    </w:p>
    <w:p w:rsidR="00175A1C" w:rsidRDefault="00175A1C" w:rsidP="00175A1C">
      <w:pPr>
        <w:spacing w:line="360" w:lineRule="auto"/>
        <w:jc w:val="both"/>
        <w:rPr>
          <w:rFonts w:ascii="Verdana" w:eastAsia="Verdana" w:hAnsi="Verdana" w:cs="Verdana"/>
          <w:color w:val="000000" w:themeColor="text1"/>
          <w:sz w:val="22"/>
          <w:szCs w:val="22"/>
        </w:rPr>
      </w:pPr>
      <w:r>
        <w:rPr>
          <w:rFonts w:ascii="Verdana" w:eastAsia="Verdana" w:hAnsi="Verdana" w:cs="Verdana"/>
          <w:color w:val="000000" w:themeColor="text1"/>
          <w:sz w:val="22"/>
          <w:szCs w:val="22"/>
        </w:rPr>
        <w:t>Key developments aligned to the PCOP Action Plan include: establishment of an ‘SPPC Obesity Prevention Peer Network’ for SPPC Fund projects; development of a grant collaboration with the FUSE academic collaborative to understand the effectiveness and implementation of non-specialist interventions for weight management up to 5-years after birth; input into the development of the MSK framework to support incorporation of the All Wales Weight Management Pathway (AWWMP), as well as broader early intervention and prevention interventions; production of a PCOP Communication and Engagement Plan; collaboration with PHW Behavioural Science Unit; presentation to the Four Nations Weight Management meeting to showcase Wales’ Primary Care Obesity Prevention Action Plan; and contribution to the development of a minimum data set for the AWWMP and ‘MECC Healthy Weight Conversations’ eLearning modules.  </w:t>
      </w:r>
    </w:p>
    <w:p w:rsidR="00175A1C" w:rsidRDefault="00175A1C" w:rsidP="00175A1C">
      <w:pPr>
        <w:spacing w:line="360" w:lineRule="auto"/>
        <w:jc w:val="both"/>
        <w:rPr>
          <w:rFonts w:ascii="Verdana" w:eastAsia="Verdana" w:hAnsi="Verdana" w:cs="Verdana"/>
          <w:color w:val="000000" w:themeColor="text1"/>
          <w:sz w:val="22"/>
          <w:szCs w:val="22"/>
        </w:rPr>
      </w:pPr>
      <w:r>
        <w:rPr>
          <w:rFonts w:ascii="Verdana" w:eastAsia="Verdana" w:hAnsi="Verdana" w:cs="Verdana"/>
          <w:color w:val="000000" w:themeColor="text1"/>
          <w:sz w:val="22"/>
          <w:szCs w:val="22"/>
        </w:rPr>
        <w:t> </w:t>
      </w:r>
    </w:p>
    <w:p w:rsidR="00175A1C" w:rsidRDefault="00175A1C" w:rsidP="00175A1C">
      <w:pPr>
        <w:spacing w:line="360" w:lineRule="auto"/>
        <w:jc w:val="both"/>
        <w:rPr>
          <w:rFonts w:ascii="Verdana" w:eastAsia="Verdana" w:hAnsi="Verdana" w:cs="Verdana"/>
          <w:color w:val="000000" w:themeColor="text1"/>
          <w:sz w:val="22"/>
          <w:szCs w:val="22"/>
        </w:rPr>
      </w:pPr>
      <w:r>
        <w:rPr>
          <w:rFonts w:ascii="Verdana" w:eastAsia="Verdana" w:hAnsi="Verdana" w:cs="Verdana"/>
          <w:color w:val="000000" w:themeColor="text1"/>
          <w:sz w:val="22"/>
          <w:szCs w:val="22"/>
        </w:rPr>
        <w:t xml:space="preserve">Following our input into contract negotiations, the GMS contract agreement 2022-23 includes a </w:t>
      </w:r>
      <w:hyperlink r:id="rId44" w:tgtFrame="_blank" w:history="1">
        <w:r>
          <w:rPr>
            <w:rStyle w:val="Hyperlink"/>
            <w:rFonts w:ascii="Verdana" w:hAnsi="Verdana"/>
            <w:sz w:val="22"/>
            <w:szCs w:val="22"/>
          </w:rPr>
          <w:t>Quality Improvement project focused on specific unhealthy behaviours</w:t>
        </w:r>
      </w:hyperlink>
      <w:r>
        <w:rPr>
          <w:rStyle w:val="Hyperlink"/>
          <w:rFonts w:ascii="Verdana" w:hAnsi="Verdana"/>
          <w:sz w:val="22"/>
          <w:szCs w:val="22"/>
        </w:rPr>
        <w:t xml:space="preserve"> </w:t>
      </w:r>
      <w:r>
        <w:rPr>
          <w:rFonts w:ascii="Verdana" w:eastAsia="Verdana" w:hAnsi="Verdana" w:cs="Verdana"/>
          <w:color w:val="000000" w:themeColor="text1"/>
          <w:sz w:val="22"/>
          <w:szCs w:val="22"/>
        </w:rPr>
        <w:t xml:space="preserve">in newly registered patients as well as patients with certain long-term or chronic conditions.  The QI project will include supporting identification of patients aged 16 and over who have a high BMI, signposting/referring patients who are identified as at risk to relevant support and ensuring HbA1C measurements are </w:t>
      </w:r>
      <w:r w:rsidR="0025234E">
        <w:rPr>
          <w:rFonts w:ascii="Verdana" w:eastAsia="Verdana" w:hAnsi="Verdana" w:cs="Verdana"/>
          <w:color w:val="000000" w:themeColor="text1"/>
          <w:sz w:val="22"/>
          <w:szCs w:val="22"/>
        </w:rPr>
        <w:t>taken,</w:t>
      </w:r>
      <w:r>
        <w:rPr>
          <w:rFonts w:ascii="Verdana" w:eastAsia="Verdana" w:hAnsi="Verdana" w:cs="Verdana"/>
          <w:color w:val="000000" w:themeColor="text1"/>
          <w:sz w:val="22"/>
          <w:szCs w:val="22"/>
        </w:rPr>
        <w:t xml:space="preserve"> and referrals made into the All Wales Diabetes Prevention Programme where appropriate. Also following our feedback, the </w:t>
      </w:r>
      <w:hyperlink r:id="rId45" w:tgtFrame="_blank" w:history="1">
        <w:r>
          <w:rPr>
            <w:rStyle w:val="Hyperlink"/>
            <w:rFonts w:ascii="Verdana" w:hAnsi="Verdana"/>
            <w:sz w:val="22"/>
            <w:szCs w:val="22"/>
          </w:rPr>
          <w:t>National Community Nursing Specification</w:t>
        </w:r>
      </w:hyperlink>
      <w:r>
        <w:rPr>
          <w:rFonts w:ascii="Verdana" w:eastAsia="Verdana" w:hAnsi="Verdana" w:cs="Verdana"/>
          <w:color w:val="000000" w:themeColor="text1"/>
          <w:sz w:val="22"/>
          <w:szCs w:val="22"/>
        </w:rPr>
        <w:t xml:space="preserve"> includes ‘height and weight’ within the list of ‘Practice &amp; Skills for All Registered Community Nurses and Health Care Support Workers’, as well as requirements for knowledge/skills related to wider determinants, Making Every Contact Count (MECC), person centred approaches, and motivational interviewing.  </w:t>
      </w:r>
    </w:p>
    <w:p w:rsidR="00175A1C" w:rsidRDefault="00175A1C" w:rsidP="00175A1C">
      <w:pPr>
        <w:spacing w:line="360" w:lineRule="auto"/>
        <w:jc w:val="both"/>
        <w:rPr>
          <w:rFonts w:ascii="Verdana" w:eastAsia="Verdana" w:hAnsi="Verdana" w:cs="Verdana"/>
          <w:color w:val="000000" w:themeColor="text1"/>
          <w:sz w:val="22"/>
          <w:szCs w:val="22"/>
        </w:rPr>
      </w:pPr>
    </w:p>
    <w:p w:rsidR="00175A1C" w:rsidRDefault="00175A1C" w:rsidP="00175A1C">
      <w:pPr>
        <w:pStyle w:val="Heading2"/>
        <w:rPr>
          <w:rFonts w:cs="Arial"/>
          <w:color w:val="auto"/>
          <w:sz w:val="28"/>
          <w:szCs w:val="28"/>
        </w:rPr>
      </w:pPr>
      <w:bookmarkStart w:id="7" w:name="_Toc133448226"/>
      <w:r>
        <w:rPr>
          <w:rFonts w:cs="Arial"/>
          <w:color w:val="auto"/>
          <w:sz w:val="28"/>
          <w:szCs w:val="28"/>
        </w:rPr>
        <w:t>Diabetes Prevention</w:t>
      </w:r>
      <w:bookmarkEnd w:id="7"/>
    </w:p>
    <w:p w:rsidR="00175A1C" w:rsidRDefault="00175A1C" w:rsidP="00175A1C">
      <w:pPr>
        <w:pStyle w:val="Heading2"/>
        <w:rPr>
          <w:rFonts w:cs="Arial"/>
          <w:b w:val="0"/>
          <w:color w:val="auto"/>
          <w:sz w:val="24"/>
          <w:szCs w:val="22"/>
        </w:rPr>
      </w:pPr>
    </w:p>
    <w:p w:rsidR="00175A1C" w:rsidRDefault="00175A1C" w:rsidP="00175A1C">
      <w:pPr>
        <w:spacing w:line="360" w:lineRule="auto"/>
        <w:jc w:val="both"/>
        <w:rPr>
          <w:rFonts w:ascii="Verdana" w:eastAsia="Verdana" w:hAnsi="Verdana" w:cs="Verdana"/>
          <w:color w:val="000000" w:themeColor="text1"/>
          <w:sz w:val="22"/>
          <w:szCs w:val="22"/>
        </w:rPr>
      </w:pPr>
      <w:r>
        <w:rPr>
          <w:noProof/>
          <w:lang w:eastAsia="en-GB"/>
        </w:rPr>
        <w:drawing>
          <wp:anchor distT="0" distB="0" distL="114300" distR="114300" simplePos="0" relativeHeight="251706368" behindDoc="1" locked="0" layoutInCell="1" allowOverlap="1" wp14:anchorId="55460721" wp14:editId="70365B79">
            <wp:simplePos x="0" y="0"/>
            <wp:positionH relativeFrom="column">
              <wp:posOffset>-97790</wp:posOffset>
            </wp:positionH>
            <wp:positionV relativeFrom="paragraph">
              <wp:posOffset>5545455</wp:posOffset>
            </wp:positionV>
            <wp:extent cx="4704715" cy="2652395"/>
            <wp:effectExtent l="0" t="0" r="635" b="0"/>
            <wp:wrapTight wrapText="bothSides">
              <wp:wrapPolygon edited="0">
                <wp:start x="0" y="0"/>
                <wp:lineTo x="0" y="21409"/>
                <wp:lineTo x="21515" y="21409"/>
                <wp:lineTo x="21515" y="0"/>
                <wp:lineTo x="0" y="0"/>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704715" cy="265239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703296" behindDoc="1" locked="0" layoutInCell="1" allowOverlap="1" wp14:anchorId="7A8C4F7B" wp14:editId="3A55CF6F">
            <wp:simplePos x="0" y="0"/>
            <wp:positionH relativeFrom="margin">
              <wp:align>right</wp:align>
            </wp:positionH>
            <wp:positionV relativeFrom="paragraph">
              <wp:posOffset>1078230</wp:posOffset>
            </wp:positionV>
            <wp:extent cx="1803400" cy="2520315"/>
            <wp:effectExtent l="0" t="0" r="6350" b="0"/>
            <wp:wrapTight wrapText="bothSides">
              <wp:wrapPolygon edited="0">
                <wp:start x="0" y="0"/>
                <wp:lineTo x="0" y="21388"/>
                <wp:lineTo x="21448" y="21388"/>
                <wp:lineTo x="21448"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1803400" cy="2520315"/>
                    </a:xfrm>
                    <a:prstGeom prst="rect">
                      <a:avLst/>
                    </a:prstGeom>
                    <a:noFill/>
                  </pic:spPr>
                </pic:pic>
              </a:graphicData>
            </a:graphic>
            <wp14:sizeRelH relativeFrom="margin">
              <wp14:pctWidth>0</wp14:pctWidth>
            </wp14:sizeRelH>
            <wp14:sizeRelV relativeFrom="margin">
              <wp14:pctHeight>0</wp14:pctHeight>
            </wp14:sizeRelV>
          </wp:anchor>
        </w:drawing>
      </w:r>
      <w:r>
        <w:rPr>
          <w:rFonts w:ascii="Verdana" w:eastAsia="Verdana" w:hAnsi="Verdana" w:cs="Verdana"/>
          <w:color w:val="000000" w:themeColor="text1"/>
          <w:sz w:val="22"/>
          <w:szCs w:val="22"/>
        </w:rPr>
        <w:t xml:space="preserve">Led by the Primary Care Hub, the </w:t>
      </w:r>
      <w:hyperlink r:id="rId48" w:tgtFrame="_blank" w:history="1">
        <w:r>
          <w:rPr>
            <w:rStyle w:val="Hyperlink"/>
            <w:rFonts w:ascii="Verdana" w:hAnsi="Verdana"/>
            <w:sz w:val="22"/>
            <w:szCs w:val="22"/>
          </w:rPr>
          <w:t>All Wales Diabetes Prevention Programme</w:t>
        </w:r>
      </w:hyperlink>
      <w:r>
        <w:rPr>
          <w:rFonts w:ascii="Verdana" w:eastAsia="Verdana" w:hAnsi="Verdana" w:cs="Verdana"/>
          <w:color w:val="000000" w:themeColor="text1"/>
          <w:sz w:val="22"/>
          <w:szCs w:val="22"/>
        </w:rPr>
        <w:t xml:space="preserve"> (AWDPP) formally launched in June 2022 during ‘Diabetes Awareness Week’. The launch event was held in Swansea Bay and attended by the Deputy Minister for Mental Health and Wellbeing with coverage on mainstream and social media. Within the first 9 months of implementing the AWDPP, 12 out of 14 primary care clusters receiving WG funding have commenced delivery of the programme, with 26 healthcare support workers and 7 dietetic leads recruited and actively delivering the AWDPP across Wales. Several health boards have also identified alternative funding sources to extend the delivery of the AWDPP to additional clusters, and five primary care clusters (in addition to the 14 funded by Welsh Government) have commenced AWDPP activity through these alternative sources of funding. PHW have commissioned a process evaluation of the initial stages of AWDPP implementation, and the draft evaluation report is due in May 2023. A modified stepped wedge design outcome evaluation has also commenced, and this is due to conclude by the end of 2024/25. In addition to publishing the </w:t>
      </w:r>
      <w:hyperlink r:id="rId49" w:tgtFrame="_blank" w:history="1">
        <w:r>
          <w:rPr>
            <w:rStyle w:val="Hyperlink"/>
            <w:rFonts w:ascii="Verdana" w:hAnsi="Verdana"/>
            <w:sz w:val="22"/>
            <w:szCs w:val="22"/>
          </w:rPr>
          <w:t>AWDPP Intervention Protocol</w:t>
        </w:r>
      </w:hyperlink>
      <w:r>
        <w:rPr>
          <w:rStyle w:val="Hyperlink"/>
          <w:rFonts w:ascii="Verdana" w:hAnsi="Verdana"/>
          <w:sz w:val="22"/>
          <w:szCs w:val="22"/>
        </w:rPr>
        <w:t xml:space="preserve"> </w:t>
      </w:r>
      <w:r>
        <w:rPr>
          <w:rFonts w:ascii="Verdana" w:eastAsia="Verdana" w:hAnsi="Verdana" w:cs="Verdana"/>
          <w:color w:val="000000" w:themeColor="text1"/>
          <w:sz w:val="22"/>
          <w:szCs w:val="22"/>
        </w:rPr>
        <w:t>, the AWDPP central team has developed a compendium of resources to enable delivery of the AWDPP, including a Training, Supervision and Quality Assurance Framework, a Consultation Manual, and public-facing resources including letters and an information leaflet. The AWDPP central team have provided ongoing programme management and support to health boards, managed the grant funding, developed templates on EMIS and Vision systems, and coordinated training and access to resources. In addition, we have led the development of a ‘once-for-Wales’ Data Protection Information Agreement (DPIA) and Joint Controller Agreement (JCA) and produced the first AWDPP Activity Report for the initial 6 months of operations.</w:t>
      </w:r>
    </w:p>
    <w:p w:rsidR="00175A1C" w:rsidRDefault="00175A1C" w:rsidP="00175A1C">
      <w:pPr>
        <w:rPr>
          <w:rFonts w:ascii="Verdana" w:eastAsiaTheme="majorEastAsia" w:hAnsi="Verdana" w:cs="Arial"/>
          <w:b/>
        </w:rPr>
      </w:pPr>
      <w:r>
        <w:rPr>
          <w:rFonts w:cs="Arial"/>
        </w:rPr>
        <w:br w:type="page"/>
      </w:r>
    </w:p>
    <w:p w:rsidR="00175A1C" w:rsidRDefault="00175A1C" w:rsidP="00175A1C">
      <w:pPr>
        <w:pStyle w:val="Heading2"/>
        <w:rPr>
          <w:rFonts w:cs="Arial"/>
          <w:color w:val="auto"/>
          <w:sz w:val="28"/>
          <w:szCs w:val="28"/>
        </w:rPr>
      </w:pPr>
      <w:bookmarkStart w:id="8" w:name="_Toc133448227"/>
      <w:r>
        <w:rPr>
          <w:rFonts w:cs="Arial"/>
          <w:color w:val="auto"/>
          <w:sz w:val="28"/>
          <w:szCs w:val="28"/>
        </w:rPr>
        <w:t>Social Prescribing</w:t>
      </w:r>
      <w:bookmarkEnd w:id="8"/>
    </w:p>
    <w:p w:rsidR="00175A1C" w:rsidRDefault="00175A1C" w:rsidP="00175A1C"/>
    <w:p w:rsidR="00175A1C" w:rsidRDefault="00175A1C" w:rsidP="00175A1C">
      <w:pPr>
        <w:spacing w:line="360" w:lineRule="auto"/>
        <w:jc w:val="both"/>
        <w:rPr>
          <w:rFonts w:ascii="Verdana" w:hAnsi="Verdana"/>
          <w:sz w:val="22"/>
          <w:szCs w:val="22"/>
        </w:rPr>
      </w:pPr>
      <w:r>
        <w:rPr>
          <w:rFonts w:ascii="Verdana" w:hAnsi="Verdana" w:cs="Arial"/>
          <w:sz w:val="22"/>
          <w:szCs w:val="18"/>
        </w:rPr>
        <w:t xml:space="preserve"> </w:t>
      </w:r>
      <w:r>
        <w:rPr>
          <w:rFonts w:ascii="Verdana" w:hAnsi="Verdana" w:cs="Arial"/>
          <w:color w:val="000000"/>
          <w:sz w:val="22"/>
          <w:szCs w:val="22"/>
        </w:rPr>
        <w:t>In 2022/23, key publications by the PC Hub to support the development of social prescribing in Wales, included: a ‘</w:t>
      </w:r>
      <w:hyperlink r:id="rId50" w:tgtFrame="_blank" w:history="1">
        <w:r>
          <w:rPr>
            <w:rStyle w:val="Hyperlink"/>
            <w:rFonts w:ascii="Verdana" w:hAnsi="Verdana"/>
            <w:sz w:val="22"/>
            <w:szCs w:val="22"/>
          </w:rPr>
          <w:t>minute briefing</w:t>
        </w:r>
      </w:hyperlink>
      <w:r>
        <w:rPr>
          <w:rFonts w:ascii="Verdana" w:hAnsi="Verdana" w:cs="Arial"/>
          <w:color w:val="000000"/>
          <w:sz w:val="22"/>
          <w:szCs w:val="22"/>
        </w:rPr>
        <w:t xml:space="preserve">’ and </w:t>
      </w:r>
      <w:hyperlink r:id="rId51" w:tgtFrame="_blank" w:history="1">
        <w:r>
          <w:rPr>
            <w:rStyle w:val="Hyperlink"/>
            <w:rFonts w:ascii="Verdana" w:hAnsi="Verdana"/>
            <w:sz w:val="22"/>
            <w:szCs w:val="22"/>
          </w:rPr>
          <w:t>post event summary report</w:t>
        </w:r>
      </w:hyperlink>
      <w:r>
        <w:rPr>
          <w:rFonts w:ascii="Verdana" w:hAnsi="Verdana" w:cs="Arial"/>
          <w:color w:val="000000"/>
          <w:sz w:val="22"/>
          <w:szCs w:val="22"/>
        </w:rPr>
        <w:t xml:space="preserve"> on the ‘Social Prescribing in Primary Care in Wales’ engagement event held in March 2022; and a </w:t>
      </w:r>
      <w:hyperlink r:id="rId52" w:tgtFrame="_blank" w:history="1">
        <w:r>
          <w:rPr>
            <w:rStyle w:val="Hyperlink"/>
            <w:rFonts w:ascii="Verdana" w:hAnsi="Verdana"/>
            <w:sz w:val="22"/>
            <w:szCs w:val="22"/>
          </w:rPr>
          <w:t>Social Prescribing Interfaces</w:t>
        </w:r>
      </w:hyperlink>
      <w:r>
        <w:rPr>
          <w:rFonts w:ascii="Verdana" w:hAnsi="Verdana" w:cs="Arial"/>
          <w:color w:val="000000"/>
          <w:sz w:val="22"/>
          <w:szCs w:val="22"/>
        </w:rPr>
        <w:t xml:space="preserve"> report, published September 2022, with recommendations to inform strategic direction and policy development in relation to social prescribing.  </w:t>
      </w:r>
    </w:p>
    <w:p w:rsidR="00175A1C" w:rsidRDefault="00175A1C" w:rsidP="00175A1C">
      <w:pPr>
        <w:pStyle w:val="Body"/>
        <w:jc w:val="both"/>
        <w:rPr>
          <w:rFonts w:ascii="Verdana" w:hAnsi="Verdana"/>
          <w:sz w:val="22"/>
          <w:szCs w:val="22"/>
        </w:rPr>
      </w:pPr>
      <w:r>
        <w:rPr>
          <w:noProof/>
          <w:lang w:eastAsia="en-GB"/>
        </w:rPr>
        <w:drawing>
          <wp:anchor distT="0" distB="0" distL="114300" distR="114300" simplePos="0" relativeHeight="251707392" behindDoc="0" locked="0" layoutInCell="1" allowOverlap="1" wp14:anchorId="73D2215C" wp14:editId="73D06F81">
            <wp:simplePos x="0" y="0"/>
            <wp:positionH relativeFrom="margin">
              <wp:posOffset>0</wp:posOffset>
            </wp:positionH>
            <wp:positionV relativeFrom="paragraph">
              <wp:posOffset>108585</wp:posOffset>
            </wp:positionV>
            <wp:extent cx="2367915" cy="3380740"/>
            <wp:effectExtent l="19050" t="19050" r="13335" b="10160"/>
            <wp:wrapThrough wrapText="bothSides">
              <wp:wrapPolygon edited="0">
                <wp:start x="-174" y="-122"/>
                <wp:lineTo x="-174" y="21543"/>
                <wp:lineTo x="21548" y="21543"/>
                <wp:lineTo x="21548" y="-122"/>
                <wp:lineTo x="-174" y="-122"/>
              </wp:wrapPolygon>
            </wp:wrapThrough>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67915" cy="3380740"/>
                    </a:xfrm>
                    <a:prstGeom prst="rect">
                      <a:avLst/>
                    </a:prstGeom>
                    <a:noFill/>
                    <a:ln w="9525">
                      <a:solidFill>
                        <a:schemeClr val="accent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ascii="Verdana" w:hAnsi="Verdana"/>
          <w:sz w:val="22"/>
          <w:szCs w:val="22"/>
        </w:rPr>
        <w:t>The PC Hub has continued to lead the cross-sector Social Prescribing Coordinating Group, which coordinates the Connected Communities Strategy social prescribing deliverables and supports Welsh Government with development of a national framework for social prescribing.  </w:t>
      </w:r>
    </w:p>
    <w:p w:rsidR="00175A1C" w:rsidRDefault="00175A1C" w:rsidP="00175A1C">
      <w:pPr>
        <w:pStyle w:val="Body"/>
        <w:jc w:val="both"/>
        <w:rPr>
          <w:rFonts w:ascii="Verdana" w:hAnsi="Verdana"/>
          <w:sz w:val="22"/>
          <w:szCs w:val="22"/>
        </w:rPr>
      </w:pPr>
      <w:r>
        <w:rPr>
          <w:rFonts w:ascii="Verdana" w:hAnsi="Verdana"/>
          <w:sz w:val="22"/>
          <w:szCs w:val="22"/>
        </w:rPr>
        <w:t xml:space="preserve">Furthermore through a social prescribing lens, the PC Hub has: inputted into the development of the </w:t>
      </w:r>
      <w:hyperlink r:id="rId54" w:tgtFrame="_blank" w:history="1">
        <w:r>
          <w:rPr>
            <w:rStyle w:val="Hyperlink"/>
            <w:rFonts w:ascii="Verdana" w:hAnsi="Verdana"/>
            <w:sz w:val="22"/>
            <w:szCs w:val="22"/>
          </w:rPr>
          <w:t>National Review of Primary Care Mental Health Demand &amp; Activity</w:t>
        </w:r>
      </w:hyperlink>
      <w:r>
        <w:rPr>
          <w:rFonts w:ascii="Verdana" w:hAnsi="Verdana"/>
          <w:sz w:val="22"/>
          <w:szCs w:val="22"/>
        </w:rPr>
        <w:t xml:space="preserve">; established a grant collaboration between the University of South Wales  and PHW to develop an evidence-based glossary of terms; commissioned the development of descriptive case studies; supported development of a ‘Core capabilities framework’, led by Health Education and Improvement Wales (HEIW); contributed to the </w:t>
      </w:r>
      <w:hyperlink r:id="rId55" w:tgtFrame="_blank" w:history="1">
        <w:r>
          <w:rPr>
            <w:rStyle w:val="Hyperlink"/>
            <w:rFonts w:ascii="Verdana" w:hAnsi="Verdana"/>
            <w:sz w:val="22"/>
            <w:szCs w:val="22"/>
          </w:rPr>
          <w:t>PHW ‘Cost of living crisis in Wales: A public health lens’</w:t>
        </w:r>
      </w:hyperlink>
      <w:r>
        <w:rPr>
          <w:rFonts w:ascii="Verdana" w:hAnsi="Verdana"/>
          <w:sz w:val="22"/>
          <w:szCs w:val="22"/>
        </w:rPr>
        <w:t xml:space="preserve"> report; and submitted responses to the Welsh Government consultation on a national framework for social prescribing; Health &amp; Social Care Committee questions in relation to social prescribing; and an inquiry into community assets.   </w:t>
      </w:r>
    </w:p>
    <w:p w:rsidR="00175A1C" w:rsidRDefault="00175A1C" w:rsidP="00175A1C">
      <w:pPr>
        <w:pStyle w:val="Body"/>
        <w:jc w:val="both"/>
        <w:rPr>
          <w:rFonts w:ascii="Verdana" w:hAnsi="Verdana"/>
          <w:sz w:val="22"/>
          <w:szCs w:val="22"/>
        </w:rPr>
      </w:pPr>
      <w:r>
        <w:rPr>
          <w:rFonts w:ascii="Verdana" w:hAnsi="Verdana"/>
          <w:sz w:val="22"/>
          <w:szCs w:val="22"/>
        </w:rPr>
        <w:t>In recognition of the emerging evidence base in relation to social prescribing, the PC Hub has also had a key role in supporting sharing of learning and information exchange through representation at the EurohealthNet Social Prescribing Country Exchange; presentation on ‘Understanding Social Prescribing in Wales: A Mixed Methods Study’ at the PHW Research and Evaluation Conference; and providing contributions to both a ‘Cross-country comparison on social prescribing’ led by Germany/ WHO Collaborating Centre for Health Systems Research and Management; and to a WHO Deep dive on the well-being economy showcase for Wales. </w:t>
      </w:r>
    </w:p>
    <w:p w:rsidR="00175A1C" w:rsidRDefault="00175A1C" w:rsidP="00175A1C">
      <w:pPr>
        <w:pStyle w:val="Heading2"/>
        <w:rPr>
          <w:shd w:val="clear" w:color="auto" w:fill="FFFFFF"/>
        </w:rPr>
      </w:pPr>
    </w:p>
    <w:p w:rsidR="00175A1C" w:rsidRDefault="00175A1C" w:rsidP="00175A1C">
      <w:pPr>
        <w:rPr>
          <w:rFonts w:ascii="Verdana" w:eastAsiaTheme="majorEastAsia" w:hAnsi="Verdana" w:cs="Arial"/>
          <w:b/>
        </w:rPr>
      </w:pPr>
      <w:r>
        <w:rPr>
          <w:rFonts w:cs="Arial"/>
        </w:rPr>
        <w:br w:type="page"/>
      </w:r>
    </w:p>
    <w:p w:rsidR="00175A1C" w:rsidRDefault="00175A1C" w:rsidP="00175A1C">
      <w:pPr>
        <w:pStyle w:val="Heading2"/>
        <w:spacing w:before="0"/>
        <w:rPr>
          <w:rFonts w:cs="Arial"/>
          <w:color w:val="auto"/>
          <w:sz w:val="28"/>
          <w:szCs w:val="28"/>
        </w:rPr>
      </w:pPr>
      <w:r>
        <w:rPr>
          <w:noProof/>
          <w:lang w:eastAsia="en-GB"/>
        </w:rPr>
        <mc:AlternateContent>
          <mc:Choice Requires="wps">
            <w:drawing>
              <wp:anchor distT="0" distB="0" distL="114300" distR="114300" simplePos="0" relativeHeight="251710464" behindDoc="1" locked="0" layoutInCell="1" allowOverlap="1" wp14:anchorId="5F56B40A" wp14:editId="4D75F652">
                <wp:simplePos x="0" y="0"/>
                <wp:positionH relativeFrom="margin">
                  <wp:align>left</wp:align>
                </wp:positionH>
                <wp:positionV relativeFrom="paragraph">
                  <wp:posOffset>-29210</wp:posOffset>
                </wp:positionV>
                <wp:extent cx="6650355" cy="869315"/>
                <wp:effectExtent l="0" t="0" r="0" b="6985"/>
                <wp:wrapNone/>
                <wp:docPr id="29" name="Text Box 29"/>
                <wp:cNvGraphicFramePr/>
                <a:graphic xmlns:a="http://schemas.openxmlformats.org/drawingml/2006/main">
                  <a:graphicData uri="http://schemas.microsoft.com/office/word/2010/wordprocessingShape">
                    <wps:wsp>
                      <wps:cNvSpPr txBox="1"/>
                      <wps:spPr>
                        <a:xfrm>
                          <a:off x="0" y="0"/>
                          <a:ext cx="6649720" cy="869315"/>
                        </a:xfrm>
                        <a:prstGeom prst="rect">
                          <a:avLst/>
                        </a:prstGeom>
                        <a:gradFill>
                          <a:gsLst>
                            <a:gs pos="0">
                              <a:srgbClr val="3A5384"/>
                            </a:gs>
                            <a:gs pos="100000">
                              <a:srgbClr val="34B9CE"/>
                            </a:gs>
                          </a:gsLst>
                          <a:lin ang="0" scaled="0"/>
                        </a:gradFill>
                        <a:ln w="6350">
                          <a:noFill/>
                        </a:ln>
                      </wps:spPr>
                      <wps:txbx>
                        <w:txbxContent>
                          <w:p w:rsidR="00175A1C" w:rsidRDefault="00175A1C" w:rsidP="00175A1C">
                            <w:pPr>
                              <w:pStyle w:val="Heading"/>
                              <w:rPr>
                                <w:sz w:val="34"/>
                              </w:rPr>
                            </w:pPr>
                            <w:r>
                              <w:rPr>
                                <w:sz w:val="34"/>
                              </w:rPr>
                              <w:t>Primary Care Transformation</w:t>
                            </w:r>
                          </w:p>
                          <w:p w:rsidR="00175A1C" w:rsidRDefault="00175A1C" w:rsidP="00175A1C">
                            <w:pPr>
                              <w:autoSpaceDE w:val="0"/>
                              <w:autoSpaceDN w:val="0"/>
                              <w:adjustRightInd w:val="0"/>
                              <w:rPr>
                                <w:i/>
                                <w:iCs/>
                                <w:color w:val="FFFFFF" w:themeColor="background1"/>
                                <w:sz w:val="34"/>
                              </w:rPr>
                            </w:pPr>
                            <w:r>
                              <w:rPr>
                                <w:rFonts w:ascii="SegoeUI" w:hAnsi="SegoeUI" w:cs="SegoeUI"/>
                                <w:i/>
                                <w:iCs/>
                                <w:color w:val="FFFFFF" w:themeColor="background1"/>
                                <w:sz w:val="28"/>
                                <w:szCs w:val="28"/>
                              </w:rPr>
                              <w:t>Supporting our partners in the delivery of national plans for the transformation of primary and community care in Wales</w:t>
                            </w:r>
                          </w:p>
                        </w:txbxContent>
                      </wps:txbx>
                      <wps:bodyPr rot="0" spcFirstLastPara="0" vertOverflow="clip" horzOverflow="clip"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56B40A" id="Text Box 29" o:spid="_x0000_s1033" type="#_x0000_t202" style="position:absolute;margin-left:0;margin-top:-2.3pt;width:523.65pt;height:68.45pt;z-index:-2516060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" fillcolor="#3a5384" stroked="f" strokeweight=".5pt">
                <v:fill color2="#34b9ce" angle="90" focus="100%" type="gradient">
                  <o:fill v:ext="view" type="gradientUnscaled"/>
                </v:fill>
                <v:textbox inset="5mm">
                  <w:txbxContent>
                    <w:p w:rsidR="00175A1C" w:rsidRDefault="00175A1C" w:rsidP="00175A1C">
                      <w:pPr>
                        <w:pStyle w:val="Heading"/>
                        <w:rPr>
                          <w:sz w:val="34"/>
                        </w:rPr>
                      </w:pPr>
                      <w:r>
                        <w:rPr>
                          <w:sz w:val="34"/>
                        </w:rPr>
                        <w:t>Primary Care Transformation</w:t>
                      </w:r>
                    </w:p>
                    <w:p w:rsidR="00175A1C" w:rsidRDefault="00175A1C" w:rsidP="00175A1C">
                      <w:pPr>
                        <w:autoSpaceDE w:val="0"/>
                        <w:autoSpaceDN w:val="0"/>
                        <w:adjustRightInd w:val="0"/>
                        <w:rPr>
                          <w:i/>
                          <w:iCs/>
                          <w:color w:val="FFFFFF" w:themeColor="background1"/>
                          <w:sz w:val="34"/>
                        </w:rPr>
                      </w:pPr>
                      <w:r>
                        <w:rPr>
                          <w:rFonts w:ascii="SegoeUI" w:hAnsi="SegoeUI" w:cs="SegoeUI"/>
                          <w:i/>
                          <w:iCs/>
                          <w:color w:val="FFFFFF" w:themeColor="background1"/>
                          <w:sz w:val="28"/>
                          <w:szCs w:val="28"/>
                        </w:rPr>
                        <w:t>Supporting our partners in the delivery of national plans for the transformation of primary and community care in Wales</w:t>
                      </w:r>
                    </w:p>
                  </w:txbxContent>
                </v:textbox>
                <w10:wrap anchorx="margin"/>
              </v:shape>
            </w:pict>
          </mc:Fallback>
        </mc:AlternateContent>
      </w:r>
      <w:bookmarkStart w:id="9" w:name="_Toc133448228"/>
      <w:bookmarkEnd w:id="9"/>
    </w:p>
    <w:p w:rsidR="00175A1C" w:rsidRDefault="00175A1C" w:rsidP="00175A1C"/>
    <w:p w:rsidR="00175A1C" w:rsidRDefault="00175A1C" w:rsidP="00175A1C"/>
    <w:p w:rsidR="00175A1C" w:rsidRDefault="00175A1C" w:rsidP="00175A1C"/>
    <w:p w:rsidR="00175A1C" w:rsidRDefault="00175A1C" w:rsidP="00175A1C">
      <w:pPr>
        <w:pStyle w:val="Heading2"/>
        <w:rPr>
          <w:rFonts w:cs="Arial"/>
          <w:color w:val="auto"/>
          <w:sz w:val="28"/>
          <w:szCs w:val="28"/>
        </w:rPr>
      </w:pPr>
    </w:p>
    <w:p w:rsidR="00175A1C" w:rsidRDefault="00175A1C" w:rsidP="00175A1C">
      <w:pPr>
        <w:pStyle w:val="Heading2"/>
        <w:rPr>
          <w:rFonts w:cs="Arial"/>
          <w:color w:val="auto"/>
          <w:sz w:val="28"/>
          <w:szCs w:val="28"/>
        </w:rPr>
      </w:pPr>
      <w:bookmarkStart w:id="10" w:name="_Toc133448229"/>
      <w:r>
        <w:rPr>
          <w:rFonts w:cs="Arial"/>
          <w:color w:val="auto"/>
          <w:sz w:val="28"/>
          <w:szCs w:val="28"/>
        </w:rPr>
        <w:t>Primary Care Model for Wales (PCMW)</w:t>
      </w:r>
      <w:bookmarkEnd w:id="10"/>
    </w:p>
    <w:p w:rsidR="00175A1C" w:rsidRDefault="00175A1C" w:rsidP="00175A1C">
      <w:pPr>
        <w:spacing w:line="360" w:lineRule="auto"/>
        <w:jc w:val="both"/>
        <w:rPr>
          <w:rFonts w:ascii="Verdana" w:eastAsia="Verdana" w:hAnsi="Verdana" w:cs="Verdana"/>
          <w:color w:val="000000" w:themeColor="text1"/>
          <w:szCs w:val="22"/>
        </w:rPr>
      </w:pPr>
    </w:p>
    <w:p w:rsidR="00175A1C" w:rsidRDefault="00175A1C" w:rsidP="00175A1C">
      <w:pPr>
        <w:spacing w:line="360" w:lineRule="auto"/>
        <w:jc w:val="both"/>
        <w:rPr>
          <w:rFonts w:ascii="Verdana" w:eastAsia="Verdana" w:hAnsi="Verdana" w:cs="Verdana"/>
          <w:color w:val="000000" w:themeColor="text1"/>
          <w:sz w:val="22"/>
          <w:szCs w:val="22"/>
        </w:rPr>
      </w:pPr>
      <w:r>
        <w:rPr>
          <w:noProof/>
          <w:lang w:eastAsia="en-GB"/>
        </w:rPr>
        <w:drawing>
          <wp:anchor distT="0" distB="0" distL="114300" distR="114300" simplePos="0" relativeHeight="251708416" behindDoc="1" locked="0" layoutInCell="1" allowOverlap="1" wp14:anchorId="1C45D9F2" wp14:editId="382D6F33">
            <wp:simplePos x="0" y="0"/>
            <wp:positionH relativeFrom="margin">
              <wp:align>left</wp:align>
            </wp:positionH>
            <wp:positionV relativeFrom="paragraph">
              <wp:posOffset>30480</wp:posOffset>
            </wp:positionV>
            <wp:extent cx="1693545" cy="2433955"/>
            <wp:effectExtent l="0" t="0" r="1905" b="4445"/>
            <wp:wrapTight wrapText="bothSides">
              <wp:wrapPolygon edited="0">
                <wp:start x="0" y="0"/>
                <wp:lineTo x="0" y="21470"/>
                <wp:lineTo x="21381" y="21470"/>
                <wp:lineTo x="21381" y="0"/>
                <wp:lineTo x="0"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693545" cy="2433955"/>
                    </a:xfrm>
                    <a:prstGeom prst="rect">
                      <a:avLst/>
                    </a:prstGeom>
                    <a:noFill/>
                  </pic:spPr>
                </pic:pic>
              </a:graphicData>
            </a:graphic>
            <wp14:sizeRelH relativeFrom="page">
              <wp14:pctWidth>0</wp14:pctWidth>
            </wp14:sizeRelH>
            <wp14:sizeRelV relativeFrom="page">
              <wp14:pctHeight>0</wp14:pctHeight>
            </wp14:sizeRelV>
          </wp:anchor>
        </w:drawing>
      </w:r>
      <w:bookmarkStart w:id="11" w:name="_Hlk133284581"/>
      <w:r>
        <w:rPr>
          <w:rFonts w:ascii="Verdana" w:eastAsia="Verdana" w:hAnsi="Verdana" w:cs="Verdana"/>
          <w:color w:val="000000" w:themeColor="text1"/>
          <w:sz w:val="22"/>
          <w:szCs w:val="22"/>
        </w:rPr>
        <w:t xml:space="preserve">A PCMW / Accelerated Cluster Development (ACD) </w:t>
      </w:r>
      <w:hyperlink r:id="rId57" w:history="1">
        <w:r>
          <w:rPr>
            <w:rStyle w:val="Hyperlink"/>
            <w:rFonts w:ascii="Verdana" w:eastAsia="Verdana" w:hAnsi="Verdana" w:cs="Verdana"/>
            <w:sz w:val="22"/>
            <w:szCs w:val="22"/>
          </w:rPr>
          <w:t>monitoring and evaluation plan was developed during 2022</w:t>
        </w:r>
      </w:hyperlink>
      <w:r>
        <w:rPr>
          <w:rFonts w:ascii="Verdana" w:eastAsia="Verdana" w:hAnsi="Verdana" w:cs="Verdana"/>
          <w:color w:val="000000" w:themeColor="text1"/>
          <w:sz w:val="22"/>
          <w:szCs w:val="22"/>
        </w:rPr>
        <w:t xml:space="preserve"> which was supported by a </w:t>
      </w:r>
      <w:hyperlink r:id="rId58" w:history="1">
        <w:r>
          <w:rPr>
            <w:rStyle w:val="Hyperlink"/>
            <w:rFonts w:ascii="Verdana" w:eastAsia="Verdana" w:hAnsi="Verdana" w:cs="Verdana"/>
            <w:sz w:val="22"/>
            <w:szCs w:val="22"/>
          </w:rPr>
          <w:t>Cluster Development Framework</w:t>
        </w:r>
      </w:hyperlink>
      <w:r>
        <w:rPr>
          <w:rFonts w:ascii="Verdana" w:eastAsia="Verdana" w:hAnsi="Verdana" w:cs="Verdana"/>
          <w:color w:val="000000" w:themeColor="text1"/>
          <w:sz w:val="22"/>
          <w:szCs w:val="22"/>
        </w:rPr>
        <w:t xml:space="preserve"> (</w:t>
      </w:r>
      <w:hyperlink r:id="rId59" w:history="1">
        <w:r>
          <w:rPr>
            <w:rStyle w:val="Hyperlink"/>
            <w:rFonts w:ascii="Verdana" w:eastAsia="Verdana" w:hAnsi="Verdana" w:cs="Verdana"/>
            <w:color w:val="000000" w:themeColor="text1"/>
            <w:sz w:val="22"/>
            <w:szCs w:val="22"/>
          </w:rPr>
          <w:t>CDF</w:t>
        </w:r>
      </w:hyperlink>
      <w:r>
        <w:rPr>
          <w:rFonts w:ascii="Verdana" w:eastAsia="Verdana" w:hAnsi="Verdana" w:cs="Verdana"/>
          <w:color w:val="000000" w:themeColor="text1"/>
          <w:sz w:val="22"/>
          <w:szCs w:val="22"/>
        </w:rPr>
        <w:t xml:space="preserve">). This defines the anticipated </w:t>
      </w:r>
      <w:hyperlink r:id="rId60" w:history="1">
        <w:r>
          <w:rPr>
            <w:rStyle w:val="Hyperlink"/>
            <w:rFonts w:ascii="Verdana" w:eastAsia="Verdana" w:hAnsi="Verdana" w:cs="Verdana"/>
            <w:sz w:val="22"/>
            <w:szCs w:val="22"/>
          </w:rPr>
          <w:t>outcomes</w:t>
        </w:r>
      </w:hyperlink>
      <w:r>
        <w:rPr>
          <w:rFonts w:ascii="Verdana" w:eastAsia="Verdana" w:hAnsi="Verdana" w:cs="Verdana"/>
          <w:color w:val="000000" w:themeColor="text1"/>
          <w:sz w:val="22"/>
          <w:szCs w:val="22"/>
        </w:rPr>
        <w:t xml:space="preserve"> and describes implementation maturity descriptors for PCMW and success criteria for ACD. The </w:t>
      </w:r>
      <w:hyperlink r:id="rId61" w:history="1">
        <w:r>
          <w:rPr>
            <w:rStyle w:val="Hyperlink"/>
            <w:rFonts w:ascii="Verdana" w:eastAsia="Verdana" w:hAnsi="Verdana" w:cs="Verdana"/>
            <w:sz w:val="22"/>
            <w:szCs w:val="22"/>
          </w:rPr>
          <w:t>Cluster peer review process</w:t>
        </w:r>
      </w:hyperlink>
      <w:r>
        <w:rPr>
          <w:rFonts w:ascii="Verdana" w:eastAsia="Verdana" w:hAnsi="Verdana" w:cs="Verdana"/>
          <w:color w:val="000000" w:themeColor="text1"/>
          <w:sz w:val="22"/>
          <w:szCs w:val="22"/>
        </w:rPr>
        <w:t xml:space="preserve"> for the transition year was designed, and pilot reviews implemented Proposals have been made to Strategic Programme for Primary Care for a self-reflection tool and key indicator dashboard to further support and monitor implementation progress during post-transition year.</w:t>
      </w:r>
    </w:p>
    <w:bookmarkEnd w:id="11"/>
    <w:p w:rsidR="00175A1C" w:rsidRDefault="00175A1C" w:rsidP="00175A1C">
      <w:pPr>
        <w:spacing w:line="360" w:lineRule="auto"/>
        <w:jc w:val="both"/>
        <w:rPr>
          <w:rFonts w:ascii="Verdana" w:eastAsia="Verdana" w:hAnsi="Verdana" w:cs="Verdana"/>
          <w:color w:val="000000" w:themeColor="text1"/>
          <w:sz w:val="22"/>
          <w:szCs w:val="22"/>
        </w:rPr>
      </w:pPr>
    </w:p>
    <w:p w:rsidR="00175A1C" w:rsidRDefault="00175A1C" w:rsidP="00175A1C">
      <w:pPr>
        <w:pStyle w:val="Heading2"/>
        <w:rPr>
          <w:rFonts w:cs="Arial"/>
          <w:color w:val="auto"/>
          <w:sz w:val="28"/>
          <w:szCs w:val="28"/>
        </w:rPr>
      </w:pPr>
      <w:bookmarkStart w:id="12" w:name="_Toc133448230"/>
      <w:r>
        <w:rPr>
          <w:rFonts w:cs="Arial"/>
          <w:color w:val="auto"/>
          <w:sz w:val="28"/>
          <w:szCs w:val="28"/>
        </w:rPr>
        <w:t>Accelerated Cluster Development (ACD)</w:t>
      </w:r>
      <w:bookmarkEnd w:id="12"/>
    </w:p>
    <w:p w:rsidR="00175A1C" w:rsidRDefault="00175A1C" w:rsidP="00175A1C">
      <w:pPr>
        <w:spacing w:line="360" w:lineRule="auto"/>
        <w:jc w:val="both"/>
      </w:pPr>
    </w:p>
    <w:p w:rsidR="00175A1C" w:rsidRDefault="00175A1C" w:rsidP="00175A1C">
      <w:pPr>
        <w:spacing w:line="360" w:lineRule="auto"/>
        <w:jc w:val="both"/>
        <w:rPr>
          <w:rFonts w:ascii="Verdana" w:eastAsia="Verdana" w:hAnsi="Verdana" w:cs="Verdana"/>
          <w:color w:val="000000" w:themeColor="text1"/>
          <w:sz w:val="22"/>
          <w:szCs w:val="22"/>
        </w:rPr>
      </w:pPr>
      <w:r>
        <w:rPr>
          <w:noProof/>
          <w:lang w:eastAsia="en-GB"/>
        </w:rPr>
        <w:drawing>
          <wp:anchor distT="0" distB="0" distL="114300" distR="114300" simplePos="0" relativeHeight="251702272" behindDoc="1" locked="0" layoutInCell="1" allowOverlap="1" wp14:anchorId="3EC6EB7C" wp14:editId="5D69AF40">
            <wp:simplePos x="0" y="0"/>
            <wp:positionH relativeFrom="column">
              <wp:posOffset>4794885</wp:posOffset>
            </wp:positionH>
            <wp:positionV relativeFrom="paragraph">
              <wp:posOffset>1287780</wp:posOffset>
            </wp:positionV>
            <wp:extent cx="1785620" cy="2520315"/>
            <wp:effectExtent l="0" t="0" r="5080" b="0"/>
            <wp:wrapTight wrapText="bothSides">
              <wp:wrapPolygon edited="0">
                <wp:start x="0" y="0"/>
                <wp:lineTo x="0" y="21388"/>
                <wp:lineTo x="21431" y="21388"/>
                <wp:lineTo x="21431"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01142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785620" cy="2520315"/>
                    </a:xfrm>
                    <a:prstGeom prst="rect">
                      <a:avLst/>
                    </a:prstGeom>
                    <a:noFill/>
                  </pic:spPr>
                </pic:pic>
              </a:graphicData>
            </a:graphic>
            <wp14:sizeRelH relativeFrom="margin">
              <wp14:pctWidth>0</wp14:pctWidth>
            </wp14:sizeRelH>
            <wp14:sizeRelV relativeFrom="margin">
              <wp14:pctHeight>0</wp14:pctHeight>
            </wp14:sizeRelV>
          </wp:anchor>
        </w:drawing>
      </w:r>
      <w:bookmarkStart w:id="13" w:name="_Hlk133284747"/>
      <w:r>
        <w:rPr>
          <w:rFonts w:ascii="Verdana" w:eastAsia="Verdana" w:hAnsi="Verdana" w:cs="Verdana"/>
          <w:color w:val="000000" w:themeColor="text1"/>
          <w:sz w:val="22"/>
          <w:szCs w:val="22"/>
        </w:rPr>
        <w:t xml:space="preserve">The Division have worked closely with SPPC and health boards to support the implementation of the ACD transition year. Support was provided to an Optometry Professional Collaborative pilot in one area of Cwm Taf which will include evaluation and reporting during 2023. A series of facilitated workshops were commissioned, delivered and reported for community pharmacy, optometry, </w:t>
      </w:r>
      <w:hyperlink r:id="rId63" w:history="1">
        <w:r>
          <w:rPr>
            <w:rStyle w:val="Hyperlink"/>
            <w:rFonts w:ascii="Verdana" w:eastAsia="Verdana" w:hAnsi="Verdana" w:cs="Verdana"/>
            <w:sz w:val="22"/>
            <w:szCs w:val="22"/>
          </w:rPr>
          <w:t>nursing</w:t>
        </w:r>
      </w:hyperlink>
      <w:r>
        <w:rPr>
          <w:rFonts w:ascii="Verdana" w:eastAsia="Verdana" w:hAnsi="Verdana" w:cs="Verdana"/>
          <w:color w:val="000000" w:themeColor="text1"/>
          <w:sz w:val="22"/>
          <w:szCs w:val="22"/>
        </w:rPr>
        <w:t xml:space="preserve"> and </w:t>
      </w:r>
      <w:hyperlink r:id="rId64" w:history="1">
        <w:r>
          <w:rPr>
            <w:rStyle w:val="Hyperlink"/>
            <w:rFonts w:ascii="Verdana" w:eastAsia="Verdana" w:hAnsi="Verdana" w:cs="Verdana"/>
            <w:sz w:val="22"/>
            <w:szCs w:val="22"/>
          </w:rPr>
          <w:t>Allied Health Professionals</w:t>
        </w:r>
      </w:hyperlink>
      <w:r>
        <w:rPr>
          <w:rFonts w:ascii="Verdana" w:eastAsia="Verdana" w:hAnsi="Verdana" w:cs="Verdana"/>
          <w:color w:val="000000" w:themeColor="text1"/>
          <w:sz w:val="22"/>
          <w:szCs w:val="22"/>
        </w:rPr>
        <w:t>.</w:t>
      </w:r>
      <w:hyperlink r:id="rId65" w:history="1">
        <w:r>
          <w:rPr>
            <w:rStyle w:val="Hyperlink"/>
            <w:rFonts w:ascii="Verdana" w:eastAsia="Verdana" w:hAnsi="Verdana" w:cs="Verdana"/>
            <w:sz w:val="22"/>
            <w:szCs w:val="22"/>
          </w:rPr>
          <w:t xml:space="preserve"> A Learning and development opportunities for new and existing cluster leads discussion paper</w:t>
        </w:r>
      </w:hyperlink>
      <w:r>
        <w:rPr>
          <w:rFonts w:ascii="Verdana" w:eastAsia="Verdana" w:hAnsi="Verdana" w:cs="Verdana"/>
          <w:color w:val="000000" w:themeColor="text1"/>
          <w:sz w:val="22"/>
          <w:szCs w:val="22"/>
        </w:rPr>
        <w:t xml:space="preserve"> informed the development of a leadership programme being provided by HEIW and available in Spring 2023. The </w:t>
      </w:r>
      <w:hyperlink r:id="rId66" w:history="1">
        <w:r>
          <w:rPr>
            <w:rStyle w:val="Hyperlink"/>
            <w:rFonts w:ascii="Verdana" w:eastAsia="Verdana" w:hAnsi="Verdana" w:cs="Verdana"/>
            <w:sz w:val="22"/>
            <w:szCs w:val="22"/>
          </w:rPr>
          <w:t>ACD Toolkit</w:t>
        </w:r>
      </w:hyperlink>
      <w:r>
        <w:rPr>
          <w:rFonts w:ascii="Verdana" w:eastAsia="Verdana" w:hAnsi="Verdana" w:cs="Verdana"/>
          <w:color w:val="000000" w:themeColor="text1"/>
          <w:sz w:val="22"/>
          <w:szCs w:val="22"/>
        </w:rPr>
        <w:t xml:space="preserve"> was launched on PC One. The </w:t>
      </w:r>
      <w:hyperlink r:id="rId67" w:history="1">
        <w:r>
          <w:rPr>
            <w:rStyle w:val="Hyperlink"/>
            <w:rFonts w:ascii="Verdana" w:eastAsia="Verdana" w:hAnsi="Verdana" w:cs="Verdana"/>
            <w:sz w:val="22"/>
            <w:szCs w:val="22"/>
          </w:rPr>
          <w:t>Cluster Planning Support Portal</w:t>
        </w:r>
      </w:hyperlink>
      <w:r>
        <w:rPr>
          <w:rFonts w:ascii="Verdana" w:eastAsia="Verdana" w:hAnsi="Verdana" w:cs="Verdana"/>
          <w:color w:val="000000" w:themeColor="text1"/>
          <w:sz w:val="22"/>
          <w:szCs w:val="22"/>
        </w:rPr>
        <w:t xml:space="preserve"> (CPSP) was developed and published to support the cluster planning cycle. The online </w:t>
      </w:r>
      <w:hyperlink r:id="rId68" w:history="1">
        <w:r>
          <w:rPr>
            <w:rStyle w:val="Hyperlink"/>
            <w:rFonts w:ascii="Verdana" w:eastAsia="Verdana" w:hAnsi="Verdana" w:cs="Verdana"/>
            <w:sz w:val="22"/>
            <w:szCs w:val="22"/>
          </w:rPr>
          <w:t>Population Health Information by Topic</w:t>
        </w:r>
      </w:hyperlink>
      <w:r>
        <w:rPr>
          <w:rFonts w:ascii="Verdana" w:eastAsia="Verdana" w:hAnsi="Verdana" w:cs="Verdana"/>
          <w:color w:val="000000" w:themeColor="text1"/>
          <w:sz w:val="22"/>
          <w:szCs w:val="22"/>
        </w:rPr>
        <w:t xml:space="preserve"> (PHIT) index was updated as a resource to guide professional collaborative advice on health improvement priorities. The Primary Care One website has been enhanced with a new </w:t>
      </w:r>
      <w:hyperlink r:id="rId69" w:history="1">
        <w:r>
          <w:rPr>
            <w:rStyle w:val="Hyperlink"/>
            <w:rFonts w:ascii="Verdana" w:eastAsia="Verdana" w:hAnsi="Verdana" w:cs="Verdana"/>
            <w:sz w:val="22"/>
            <w:szCs w:val="22"/>
          </w:rPr>
          <w:t>Tools</w:t>
        </w:r>
      </w:hyperlink>
      <w:r>
        <w:rPr>
          <w:rFonts w:ascii="Verdana" w:eastAsia="Verdana" w:hAnsi="Verdana" w:cs="Verdana"/>
          <w:color w:val="000000" w:themeColor="text1"/>
          <w:sz w:val="22"/>
          <w:szCs w:val="22"/>
        </w:rPr>
        <w:t xml:space="preserve"> section and other content in support of the SPPC, PC Hub, ACD and wider transformation activitie</w:t>
      </w:r>
      <w:bookmarkEnd w:id="13"/>
      <w:r>
        <w:rPr>
          <w:rFonts w:ascii="Verdana" w:eastAsia="Verdana" w:hAnsi="Verdana" w:cs="Verdana"/>
          <w:color w:val="000000" w:themeColor="text1"/>
          <w:sz w:val="22"/>
          <w:szCs w:val="22"/>
        </w:rPr>
        <w:t>s.</w:t>
      </w:r>
    </w:p>
    <w:p w:rsidR="00175A1C" w:rsidRDefault="00175A1C" w:rsidP="00175A1C">
      <w:pPr>
        <w:pStyle w:val="Heading2"/>
        <w:rPr>
          <w:rFonts w:cs="Arial"/>
          <w:color w:val="auto"/>
          <w:sz w:val="28"/>
          <w:szCs w:val="28"/>
        </w:rPr>
      </w:pPr>
      <w:r>
        <w:rPr>
          <w:noProof/>
          <w:lang w:eastAsia="en-GB"/>
        </w:rPr>
        <w:drawing>
          <wp:anchor distT="0" distB="0" distL="114300" distR="114300" simplePos="0" relativeHeight="251701248" behindDoc="1" locked="0" layoutInCell="1" allowOverlap="1" wp14:anchorId="7044D454" wp14:editId="107F19B6">
            <wp:simplePos x="0" y="0"/>
            <wp:positionH relativeFrom="column">
              <wp:posOffset>4247515</wp:posOffset>
            </wp:positionH>
            <wp:positionV relativeFrom="paragraph">
              <wp:posOffset>167005</wp:posOffset>
            </wp:positionV>
            <wp:extent cx="2547620" cy="1280160"/>
            <wp:effectExtent l="0" t="0" r="0" b="0"/>
            <wp:wrapTight wrapText="bothSides">
              <wp:wrapPolygon edited="0">
                <wp:start x="5492" y="4821"/>
                <wp:lineTo x="4038" y="6107"/>
                <wp:lineTo x="2584" y="9321"/>
                <wp:lineTo x="2746" y="11893"/>
                <wp:lineTo x="4038" y="15750"/>
                <wp:lineTo x="4522" y="16393"/>
                <wp:lineTo x="5330" y="16393"/>
                <wp:lineTo x="18736" y="15750"/>
                <wp:lineTo x="19220" y="13821"/>
                <wp:lineTo x="16152" y="10607"/>
                <wp:lineTo x="16798" y="6750"/>
                <wp:lineTo x="15990" y="6107"/>
                <wp:lineTo x="10014" y="4821"/>
                <wp:lineTo x="5492" y="4821"/>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127560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547620" cy="1280160"/>
                    </a:xfrm>
                    <a:prstGeom prst="rect">
                      <a:avLst/>
                    </a:prstGeom>
                    <a:noFill/>
                  </pic:spPr>
                </pic:pic>
              </a:graphicData>
            </a:graphic>
            <wp14:sizeRelH relativeFrom="margin">
              <wp14:pctWidth>0</wp14:pctWidth>
            </wp14:sizeRelH>
            <wp14:sizeRelV relativeFrom="margin">
              <wp14:pctHeight>0</wp14:pctHeight>
            </wp14:sizeRelV>
          </wp:anchor>
        </w:drawing>
      </w:r>
      <w:bookmarkStart w:id="14" w:name="_Toc133448231"/>
      <w:r>
        <w:rPr>
          <w:rFonts w:cs="Arial"/>
          <w:color w:val="auto"/>
          <w:sz w:val="28"/>
          <w:szCs w:val="28"/>
        </w:rPr>
        <w:t>Greener Primary Care Wales</w:t>
      </w:r>
      <w:bookmarkEnd w:id="14"/>
    </w:p>
    <w:p w:rsidR="00175A1C" w:rsidRDefault="00175A1C" w:rsidP="00175A1C">
      <w:pPr>
        <w:spacing w:line="360" w:lineRule="auto"/>
        <w:jc w:val="both"/>
        <w:rPr>
          <w:rFonts w:ascii="Verdana" w:hAnsi="Verdana"/>
          <w:sz w:val="28"/>
          <w:szCs w:val="28"/>
        </w:rPr>
      </w:pPr>
    </w:p>
    <w:p w:rsidR="00175A1C" w:rsidRDefault="00175A1C" w:rsidP="00175A1C">
      <w:pPr>
        <w:spacing w:line="360" w:lineRule="auto"/>
        <w:jc w:val="both"/>
        <w:rPr>
          <w:rFonts w:ascii="Verdana" w:eastAsia="Verdana" w:hAnsi="Verdana" w:cs="Verdana"/>
          <w:color w:val="000000" w:themeColor="text1"/>
          <w:sz w:val="22"/>
          <w:szCs w:val="22"/>
        </w:rPr>
      </w:pPr>
      <w:bookmarkStart w:id="15" w:name="_Hlk133284803"/>
      <w:r>
        <w:rPr>
          <w:rFonts w:ascii="Verdana" w:eastAsia="Verdana" w:hAnsi="Verdana" w:cs="Verdana"/>
          <w:color w:val="000000" w:themeColor="text1"/>
          <w:sz w:val="22"/>
          <w:szCs w:val="22"/>
        </w:rPr>
        <w:t xml:space="preserve">Designed and led by the Primary Care Division, Public Health Wales, the Scheme was launched nationally in June 2022 with the </w:t>
      </w:r>
      <w:hyperlink r:id="rId71" w:history="1">
        <w:r>
          <w:rPr>
            <w:rStyle w:val="Hyperlink"/>
            <w:rFonts w:ascii="Verdana" w:hAnsi="Verdana"/>
            <w:color w:val="000000" w:themeColor="text1"/>
            <w:sz w:val="22"/>
            <w:szCs w:val="22"/>
          </w:rPr>
          <w:t>support</w:t>
        </w:r>
      </w:hyperlink>
      <w:r>
        <w:rPr>
          <w:rFonts w:ascii="Verdana" w:eastAsia="Verdana" w:hAnsi="Verdana" w:cs="Verdana"/>
          <w:color w:val="000000" w:themeColor="text1"/>
          <w:sz w:val="22"/>
          <w:szCs w:val="22"/>
        </w:rPr>
        <w:t xml:space="preserve"> of the Minister for Health and Social Services, Minister for Climate Change and the Future Generations Commissioner. The first year saw over 100 practices, across all 4 contractor settings and all health board areas in Wales complete approximately 650 climate change actions with 16 bronze, 11 silver and 8 gold awards given. The relaunch of year 2 was marked with a </w:t>
      </w:r>
      <w:hyperlink r:id="rId72" w:history="1">
        <w:r>
          <w:rPr>
            <w:rStyle w:val="Hyperlink"/>
            <w:rFonts w:ascii="Verdana" w:hAnsi="Verdana"/>
            <w:color w:val="000000" w:themeColor="text1"/>
            <w:sz w:val="22"/>
            <w:szCs w:val="22"/>
          </w:rPr>
          <w:t>webinar</w:t>
        </w:r>
      </w:hyperlink>
      <w:r>
        <w:rPr>
          <w:rFonts w:ascii="Verdana" w:eastAsia="Verdana" w:hAnsi="Verdana" w:cs="Verdana"/>
          <w:color w:val="000000" w:themeColor="text1"/>
          <w:sz w:val="22"/>
          <w:szCs w:val="22"/>
        </w:rPr>
        <w:t xml:space="preserve"> on 20 March 2023 which was endorsed for the second year with a </w:t>
      </w:r>
      <w:hyperlink r:id="rId73" w:history="1">
        <w:r>
          <w:rPr>
            <w:rStyle w:val="Hyperlink"/>
            <w:rFonts w:ascii="Verdana" w:eastAsia="Verdana" w:hAnsi="Verdana" w:cs="Verdana"/>
            <w:i/>
            <w:iCs/>
            <w:sz w:val="22"/>
            <w:szCs w:val="22"/>
            <w:lang w:val="en-US"/>
          </w:rPr>
          <w:t>Ministerial written statement</w:t>
        </w:r>
        <w:r>
          <w:rPr>
            <w:rStyle w:val="Hyperlink"/>
            <w:color w:val="000000" w:themeColor="text1"/>
            <w:sz w:val="22"/>
            <w:szCs w:val="22"/>
          </w:rPr>
          <w:t>.</w:t>
        </w:r>
      </w:hyperlink>
      <w:r>
        <w:rPr>
          <w:rFonts w:ascii="Verdana" w:eastAsia="Verdana" w:hAnsi="Verdana" w:cs="Verdana"/>
          <w:color w:val="000000" w:themeColor="text1"/>
          <w:sz w:val="22"/>
          <w:szCs w:val="22"/>
        </w:rPr>
        <w:t xml:space="preserve"> An </w:t>
      </w:r>
      <w:hyperlink r:id="rId74" w:history="1">
        <w:r>
          <w:rPr>
            <w:rStyle w:val="Hyperlink"/>
            <w:rFonts w:ascii="Verdana" w:eastAsia="Verdana" w:hAnsi="Verdana" w:cs="Verdana"/>
            <w:i/>
            <w:iCs/>
            <w:sz w:val="22"/>
            <w:szCs w:val="22"/>
            <w:lang w:val="en-US"/>
          </w:rPr>
          <w:t>animation</w:t>
        </w:r>
      </w:hyperlink>
      <w:r>
        <w:rPr>
          <w:rFonts w:ascii="Verdana" w:eastAsia="Verdana" w:hAnsi="Verdana" w:cs="Verdana"/>
          <w:color w:val="000000" w:themeColor="text1"/>
          <w:sz w:val="22"/>
          <w:szCs w:val="22"/>
        </w:rPr>
        <w:t xml:space="preserve"> designed and developed to promote the Scheme was developed and a </w:t>
      </w:r>
      <w:hyperlink r:id="rId75" w:history="1">
        <w:r>
          <w:rPr>
            <w:rStyle w:val="Hyperlink"/>
            <w:color w:val="000000" w:themeColor="text1"/>
            <w:sz w:val="22"/>
            <w:szCs w:val="22"/>
          </w:rPr>
          <w:t>Yearbook</w:t>
        </w:r>
      </w:hyperlink>
      <w:r>
        <w:rPr>
          <w:rFonts w:ascii="Verdana" w:eastAsia="Verdana" w:hAnsi="Verdana" w:cs="Verdana"/>
          <w:color w:val="000000" w:themeColor="text1"/>
          <w:sz w:val="22"/>
          <w:szCs w:val="22"/>
        </w:rPr>
        <w:t xml:space="preserve"> of case studies from year 1 published with funding from the Welsh Government Health and Social Care Climate Emergency National Programme. Successful completion of the 2022-2023 </w:t>
      </w:r>
      <w:hyperlink r:id="rId76" w:history="1">
        <w:r>
          <w:rPr>
            <w:rStyle w:val="Hyperlink"/>
            <w:rFonts w:ascii="Verdana" w:eastAsia="Verdana" w:hAnsi="Verdana" w:cs="Verdana"/>
            <w:i/>
            <w:iCs/>
            <w:sz w:val="22"/>
            <w:szCs w:val="22"/>
            <w:lang w:val="en-US"/>
          </w:rPr>
          <w:t>Bevan Exemplar programme</w:t>
        </w:r>
      </w:hyperlink>
      <w:r>
        <w:rPr>
          <w:rFonts w:ascii="Verdana" w:eastAsia="Verdana" w:hAnsi="Verdana" w:cs="Verdana"/>
          <w:color w:val="000000" w:themeColor="text1"/>
          <w:sz w:val="22"/>
          <w:szCs w:val="22"/>
          <w:lang w:val="en-US"/>
        </w:rPr>
        <w:t xml:space="preserve"> </w:t>
      </w:r>
      <w:r>
        <w:rPr>
          <w:rFonts w:ascii="Verdana" w:eastAsia="Verdana" w:hAnsi="Verdana" w:cs="Verdana"/>
          <w:color w:val="000000" w:themeColor="text1"/>
          <w:sz w:val="22"/>
          <w:szCs w:val="22"/>
        </w:rPr>
        <w:t xml:space="preserve">where the Scheme was commended at the </w:t>
      </w:r>
      <w:hyperlink r:id="rId77" w:history="1">
        <w:r>
          <w:rPr>
            <w:rStyle w:val="Hyperlink"/>
            <w:rFonts w:ascii="Verdana" w:eastAsia="Verdana" w:hAnsi="Verdana" w:cs="Verdana"/>
            <w:i/>
            <w:iCs/>
            <w:sz w:val="22"/>
            <w:szCs w:val="22"/>
            <w:lang w:val="en-US"/>
          </w:rPr>
          <w:t>Bevan Showcase event</w:t>
        </w:r>
      </w:hyperlink>
      <w:r>
        <w:rPr>
          <w:rFonts w:ascii="Verdana" w:eastAsia="Verdana" w:hAnsi="Verdana" w:cs="Verdana"/>
          <w:color w:val="000000" w:themeColor="text1"/>
          <w:sz w:val="22"/>
          <w:szCs w:val="22"/>
        </w:rPr>
        <w:t xml:space="preserve"> in January 2023. </w:t>
      </w:r>
      <w:bookmarkEnd w:id="15"/>
      <w:r>
        <w:rPr>
          <w:rFonts w:ascii="Verdana" w:eastAsia="Verdana" w:hAnsi="Verdana" w:cs="Verdana"/>
          <w:color w:val="000000" w:themeColor="text1"/>
          <w:sz w:val="22"/>
          <w:szCs w:val="22"/>
        </w:rPr>
        <w:t xml:space="preserve"> </w:t>
      </w:r>
    </w:p>
    <w:p w:rsidR="00175A1C" w:rsidRDefault="00175A1C" w:rsidP="00175A1C">
      <w:pPr>
        <w:spacing w:line="360" w:lineRule="auto"/>
        <w:jc w:val="both"/>
      </w:pPr>
    </w:p>
    <w:p w:rsidR="00175A1C" w:rsidRDefault="00175A1C" w:rsidP="00175A1C">
      <w:pPr>
        <w:pStyle w:val="Heading2"/>
        <w:rPr>
          <w:rFonts w:cs="Arial"/>
          <w:color w:val="auto"/>
          <w:sz w:val="28"/>
          <w:szCs w:val="28"/>
        </w:rPr>
      </w:pPr>
      <w:bookmarkStart w:id="16" w:name="_Toc133448232"/>
      <w:r>
        <w:rPr>
          <w:rFonts w:cs="Arial"/>
          <w:color w:val="auto"/>
          <w:sz w:val="28"/>
          <w:szCs w:val="28"/>
        </w:rPr>
        <w:t>Other climate change activity</w:t>
      </w:r>
      <w:bookmarkEnd w:id="16"/>
    </w:p>
    <w:p w:rsidR="00175A1C" w:rsidRDefault="00175A1C" w:rsidP="00175A1C">
      <w:pPr>
        <w:rPr>
          <w:rFonts w:ascii="Verdana" w:hAnsi="Verdana"/>
        </w:rPr>
      </w:pPr>
    </w:p>
    <w:p w:rsidR="00175A1C" w:rsidRDefault="00175A1C" w:rsidP="00175A1C">
      <w:pPr>
        <w:suppressAutoHyphens/>
        <w:autoSpaceDE w:val="0"/>
        <w:autoSpaceDN w:val="0"/>
        <w:adjustRightInd w:val="0"/>
        <w:spacing w:after="113" w:line="400" w:lineRule="atLeast"/>
        <w:jc w:val="both"/>
        <w:textAlignment w:val="center"/>
        <w:rPr>
          <w:rFonts w:ascii="Verdana" w:eastAsia="Verdana" w:hAnsi="Verdana" w:cs="Verdana"/>
          <w:b/>
          <w:bCs/>
          <w:color w:val="000000" w:themeColor="text1"/>
          <w:sz w:val="36"/>
          <w:szCs w:val="36"/>
          <w:lang w:val="en-US"/>
        </w:rPr>
      </w:pPr>
      <w:r>
        <w:rPr>
          <w:rFonts w:ascii="Verdana" w:hAnsi="Verdana" w:cs="Arial"/>
          <w:sz w:val="22"/>
          <w:szCs w:val="22"/>
        </w:rPr>
        <w:t xml:space="preserve">The </w:t>
      </w:r>
      <w:r>
        <w:rPr>
          <w:rFonts w:ascii="Verdana" w:eastAsia="Verdana" w:hAnsi="Verdana" w:cs="Verdana"/>
          <w:sz w:val="22"/>
          <w:szCs w:val="22"/>
        </w:rPr>
        <w:t xml:space="preserve">Primary Care Division has been integral to the establishment of a PHW Climate Change </w:t>
      </w:r>
      <w:r>
        <w:rPr>
          <w:rFonts w:ascii="Verdana" w:eastAsia="Verdana" w:hAnsi="Verdana" w:cs="Verdana"/>
          <w:color w:val="000000" w:themeColor="text1"/>
          <w:sz w:val="22"/>
          <w:szCs w:val="22"/>
        </w:rPr>
        <w:t xml:space="preserve">Board and the inclusion of a chapter in the PHW Long Term Strategy dedicated to climate change, highlighting the role primary care. At the request of Welsh Government a national Task and Finish group was established to provide a coordinated approach, national oversight, input and support to address inhaler use and disposal in Wales aligned to the relevant initiatives in the </w:t>
      </w:r>
      <w:hyperlink r:id="rId78" w:history="1">
        <w:r>
          <w:rPr>
            <w:rStyle w:val="Hyperlink"/>
            <w:rFonts w:ascii="Verdana" w:eastAsia="Verdana" w:hAnsi="Verdana" w:cs="Verdana"/>
            <w:i/>
            <w:iCs/>
            <w:sz w:val="22"/>
            <w:szCs w:val="22"/>
            <w:lang w:val="en-US"/>
          </w:rPr>
          <w:t>NHS Wales Decarbonisation Strategic Delivery Plan</w:t>
        </w:r>
      </w:hyperlink>
      <w:r>
        <w:rPr>
          <w:rStyle w:val="Hyperlink"/>
          <w:i/>
          <w:iCs/>
          <w:sz w:val="22"/>
          <w:szCs w:val="22"/>
          <w:lang w:val="en-US"/>
        </w:rPr>
        <w:t xml:space="preserve"> </w:t>
      </w:r>
      <w:r>
        <w:rPr>
          <w:rFonts w:ascii="Verdana" w:eastAsia="Verdana" w:hAnsi="Verdana" w:cs="Verdana"/>
          <w:color w:val="000000" w:themeColor="text1"/>
          <w:sz w:val="22"/>
          <w:szCs w:val="22"/>
        </w:rPr>
        <w:t xml:space="preserve">(2021). The group is chaired by PCD. The inaugural was held meeting in January 2023 and a Decarbonisation – Inhaler Prescribing, Use and Disposal, 2023–2030. A national strategy for Wales, has been drafted in partnership with All Wales Therapeutics and Toxicology Centre which will be consulted on during 2023. The Division have undertaken a rapid review of the evidence of inhaler use and disposal and commissioned a behavioural insights piece of work about enablers and barriers to patients returning inhalers to the community pharmacy for safe disposal with Cardiff Metropolitan University to support the inhaler Task and Finish workplan. The Division continues to attend, participate and provide ongoing public health advice offered to the Approaches to Healthcare project of the Climate Emergency National Programme Board. </w:t>
      </w:r>
      <w:r>
        <w:rPr>
          <w:rFonts w:ascii="Verdana" w:eastAsia="Verdana" w:hAnsi="Verdana" w:cs="Verdana"/>
          <w:b/>
          <w:bCs/>
          <w:color w:val="000000" w:themeColor="text1"/>
          <w:sz w:val="36"/>
          <w:szCs w:val="36"/>
          <w:lang w:val="en-US"/>
        </w:rPr>
        <w:t xml:space="preserve">             </w:t>
      </w:r>
    </w:p>
    <w:p w:rsidR="00175A1C" w:rsidRDefault="00175A1C" w:rsidP="00175A1C">
      <w:pPr>
        <w:suppressAutoHyphens/>
        <w:autoSpaceDE w:val="0"/>
        <w:autoSpaceDN w:val="0"/>
        <w:adjustRightInd w:val="0"/>
        <w:spacing w:after="113" w:line="256" w:lineRule="auto"/>
        <w:jc w:val="both"/>
        <w:textAlignment w:val="center"/>
        <w:rPr>
          <w:rFonts w:ascii="Arial" w:eastAsia="Arial" w:hAnsi="Arial" w:cs="Arial"/>
          <w:b/>
          <w:bCs/>
          <w:sz w:val="21"/>
          <w:szCs w:val="21"/>
          <w:lang w:val="en-US"/>
        </w:rPr>
      </w:pPr>
    </w:p>
    <w:p w:rsidR="00175A1C" w:rsidRDefault="00175A1C" w:rsidP="00175A1C">
      <w:pPr>
        <w:suppressAutoHyphens/>
        <w:autoSpaceDE w:val="0"/>
        <w:autoSpaceDN w:val="0"/>
        <w:adjustRightInd w:val="0"/>
        <w:spacing w:after="113" w:line="256" w:lineRule="auto"/>
        <w:jc w:val="both"/>
        <w:textAlignment w:val="center"/>
        <w:rPr>
          <w:rFonts w:ascii="Arial" w:eastAsia="Arial" w:hAnsi="Arial" w:cs="Arial"/>
          <w:b/>
          <w:bCs/>
          <w:sz w:val="21"/>
          <w:szCs w:val="21"/>
          <w:lang w:val="en-US"/>
        </w:rPr>
      </w:pPr>
    </w:p>
    <w:p w:rsidR="00175A1C" w:rsidRDefault="00175A1C" w:rsidP="00175A1C">
      <w:pPr>
        <w:pStyle w:val="Heading2"/>
        <w:rPr>
          <w:rFonts w:cs="Arial"/>
          <w:color w:val="auto"/>
          <w:sz w:val="28"/>
          <w:szCs w:val="28"/>
        </w:rPr>
      </w:pPr>
      <w:bookmarkStart w:id="17" w:name="_Toc133448233"/>
      <w:r>
        <w:rPr>
          <w:rFonts w:cs="Arial"/>
          <w:color w:val="auto"/>
          <w:sz w:val="28"/>
          <w:szCs w:val="28"/>
        </w:rPr>
        <w:t>Eye Health Care</w:t>
      </w:r>
      <w:bookmarkEnd w:id="17"/>
    </w:p>
    <w:p w:rsidR="00175A1C" w:rsidRDefault="00175A1C" w:rsidP="00175A1C">
      <w:pPr>
        <w:rPr>
          <w:rFonts w:ascii="Verdana" w:hAnsi="Verdana"/>
        </w:rPr>
      </w:pPr>
    </w:p>
    <w:p w:rsidR="00175A1C" w:rsidRDefault="00175A1C" w:rsidP="00175A1C">
      <w:pPr>
        <w:pStyle w:val="Body"/>
        <w:jc w:val="both"/>
      </w:pPr>
      <w:r>
        <w:rPr>
          <w:rFonts w:ascii="Verdana" w:eastAsia="Verdana" w:hAnsi="Verdana" w:cs="Verdana"/>
          <w:sz w:val="22"/>
          <w:szCs w:val="22"/>
        </w:rPr>
        <w:t xml:space="preserve">Ongoing provision of general public health advice and input into strategic development of primary care eye health care service developments. This includes specialist public health advice into the Optometry Contract Reform Implementation Board and relevant sub-groups. During 2022 the PC Hub provided advice and guidance to an HEIW Optometric Fellow producing an All Wales Eye Health Needs Assessment.  </w:t>
      </w:r>
    </w:p>
    <w:p w:rsidR="00175A1C" w:rsidRDefault="00175A1C" w:rsidP="00175A1C">
      <w:pPr>
        <w:pStyle w:val="Body"/>
        <w:jc w:val="both"/>
        <w:rPr>
          <w:rFonts w:ascii="Verdana" w:hAnsi="Verdana"/>
          <w:color w:val="auto"/>
          <w:sz w:val="22"/>
          <w:szCs w:val="22"/>
        </w:rPr>
      </w:pPr>
    </w:p>
    <w:p w:rsidR="00175A1C" w:rsidRDefault="00175A1C" w:rsidP="00175A1C">
      <w:pPr>
        <w:pStyle w:val="Heading2"/>
        <w:rPr>
          <w:rFonts w:cs="Arial"/>
          <w:color w:val="auto"/>
          <w:sz w:val="28"/>
          <w:szCs w:val="28"/>
        </w:rPr>
      </w:pPr>
      <w:bookmarkStart w:id="18" w:name="_Toc133448234"/>
      <w:r>
        <w:rPr>
          <w:rFonts w:cs="Arial"/>
          <w:color w:val="auto"/>
          <w:sz w:val="28"/>
          <w:szCs w:val="28"/>
        </w:rPr>
        <w:t>Pacesetter Programme 2020/2022 and SPPC Fund 2022</w:t>
      </w:r>
      <w:bookmarkEnd w:id="18"/>
    </w:p>
    <w:p w:rsidR="00175A1C" w:rsidRDefault="00175A1C" w:rsidP="00175A1C"/>
    <w:p w:rsidR="00175A1C" w:rsidRDefault="00175A1C" w:rsidP="00175A1C">
      <w:pPr>
        <w:pStyle w:val="Body"/>
        <w:jc w:val="both"/>
        <w:rPr>
          <w:rFonts w:ascii="Verdana" w:eastAsia="Verdana" w:hAnsi="Verdana" w:cs="Verdana"/>
          <w:sz w:val="22"/>
          <w:szCs w:val="22"/>
        </w:rPr>
      </w:pPr>
      <w:r>
        <w:rPr>
          <w:rFonts w:ascii="Verdana" w:eastAsia="Verdana" w:hAnsi="Verdana" w:cs="Verdana"/>
          <w:sz w:val="22"/>
          <w:szCs w:val="22"/>
        </w:rPr>
        <w:t xml:space="preserve">The team led on the production of the </w:t>
      </w:r>
      <w:hyperlink r:id="rId79" w:history="1">
        <w:r>
          <w:rPr>
            <w:rStyle w:val="Hyperlink"/>
            <w:rFonts w:ascii="Verdana" w:eastAsia="Verdana" w:hAnsi="Verdana" w:cs="Verdana"/>
            <w:i/>
            <w:iCs/>
            <w:sz w:val="22"/>
            <w:szCs w:val="22"/>
            <w:lang w:val="en-US"/>
          </w:rPr>
          <w:t>Pacesetter Programme 2020-2022 End of programme report</w:t>
        </w:r>
      </w:hyperlink>
      <w:r>
        <w:rPr>
          <w:rFonts w:ascii="Verdana" w:eastAsia="Verdana" w:hAnsi="Verdana" w:cs="Verdana"/>
          <w:sz w:val="22"/>
          <w:szCs w:val="22"/>
        </w:rPr>
        <w:t xml:space="preserve"> that was published in August 2022 </w:t>
      </w:r>
      <w:r>
        <w:rPr>
          <w:rFonts w:ascii="Verdana" w:hAnsi="Verdana"/>
          <w:color w:val="343A40"/>
          <w:sz w:val="22"/>
          <w:szCs w:val="22"/>
          <w:shd w:val="clear" w:color="auto" w:fill="FFFFFF"/>
        </w:rPr>
        <w:t xml:space="preserve">which </w:t>
      </w:r>
      <w:r>
        <w:rPr>
          <w:rFonts w:ascii="Verdana" w:hAnsi="Verdana"/>
          <w:sz w:val="22"/>
          <w:szCs w:val="22"/>
        </w:rPr>
        <w:t>provides a summary of activity and learning for national consideration</w:t>
      </w:r>
      <w:r>
        <w:rPr>
          <w:rFonts w:ascii="Verdana" w:eastAsia="Verdana" w:hAnsi="Verdana" w:cs="Verdana"/>
          <w:sz w:val="22"/>
          <w:szCs w:val="22"/>
        </w:rPr>
        <w:t xml:space="preserve"> and brings to a close the Pacesetter Programme across Wales.  </w:t>
      </w:r>
    </w:p>
    <w:p w:rsidR="00175A1C" w:rsidRDefault="00175A1C" w:rsidP="00175A1C">
      <w:pPr>
        <w:pStyle w:val="Body"/>
        <w:jc w:val="both"/>
        <w:rPr>
          <w:rFonts w:ascii="Verdana" w:eastAsia="Verdana" w:hAnsi="Verdana" w:cs="Verdana"/>
          <w:sz w:val="22"/>
          <w:szCs w:val="22"/>
        </w:rPr>
      </w:pPr>
      <w:r>
        <w:rPr>
          <w:rFonts w:ascii="Verdana" w:eastAsia="Verdana" w:hAnsi="Verdana" w:cs="Verdana"/>
          <w:sz w:val="22"/>
          <w:szCs w:val="22"/>
        </w:rPr>
        <w:t>The team also produced a number of papers to support the introduction and monitoring of the new Strategic Programme for Primary Care Fund (</w:t>
      </w:r>
      <w:hyperlink r:id="rId80" w:history="1">
        <w:r>
          <w:rPr>
            <w:rStyle w:val="Hyperlink"/>
            <w:rFonts w:ascii="Verdana" w:eastAsia="Verdana" w:hAnsi="Verdana" w:cs="Verdana"/>
            <w:sz w:val="22"/>
            <w:szCs w:val="22"/>
          </w:rPr>
          <w:t>SPPC Fund</w:t>
        </w:r>
      </w:hyperlink>
      <w:r>
        <w:rPr>
          <w:rFonts w:ascii="Verdana" w:eastAsia="Verdana" w:hAnsi="Verdana" w:cs="Verdana"/>
          <w:sz w:val="22"/>
          <w:szCs w:val="22"/>
        </w:rPr>
        <w:t xml:space="preserve">) – benefits and </w:t>
      </w:r>
      <w:r>
        <w:rPr>
          <w:rFonts w:ascii="Verdana" w:hAnsi="Verdana"/>
          <w:color w:val="343A40"/>
          <w:sz w:val="22"/>
          <w:szCs w:val="22"/>
        </w:rPr>
        <w:t xml:space="preserve">Outcomes papers for the Obesity and ACD projects 2022/23 </w:t>
      </w:r>
      <w:hyperlink r:id="rId81" w:tgtFrame="_blank" w:history="1">
        <w:r>
          <w:rPr>
            <w:rStyle w:val="Hyperlink"/>
            <w:rFonts w:ascii="Verdana" w:hAnsi="Verdana"/>
            <w:color w:val="1978A3"/>
            <w:sz w:val="22"/>
            <w:szCs w:val="22"/>
          </w:rPr>
          <w:t>SPPC Fund 2022-23 OP Projects - Benefits and Outcomes Paper</w:t>
        </w:r>
      </w:hyperlink>
      <w:r>
        <w:rPr>
          <w:rFonts w:ascii="Verdana" w:hAnsi="Verdana"/>
          <w:color w:val="343A40"/>
          <w:sz w:val="22"/>
          <w:szCs w:val="22"/>
        </w:rPr>
        <w:t xml:space="preserve">. and </w:t>
      </w:r>
      <w:hyperlink r:id="rId82" w:history="1">
        <w:r>
          <w:rPr>
            <w:rStyle w:val="Hyperlink"/>
            <w:rFonts w:ascii="Verdana" w:hAnsi="Verdana"/>
            <w:sz w:val="22"/>
            <w:szCs w:val="22"/>
          </w:rPr>
          <w:t>SPPC Fund 2022-23 ACD Projects – Benefits and Outcomes Paper.</w:t>
        </w:r>
      </w:hyperlink>
      <w:r>
        <w:rPr>
          <w:rStyle w:val="Hyperlink"/>
          <w:rFonts w:ascii="Verdana" w:hAnsi="Verdana"/>
          <w:sz w:val="22"/>
          <w:szCs w:val="22"/>
        </w:rPr>
        <w:t xml:space="preserve"> </w:t>
      </w:r>
      <w:r>
        <w:rPr>
          <w:rStyle w:val="Hyperlink"/>
          <w:rFonts w:ascii="Verdana" w:hAnsi="Verdana"/>
          <w:color w:val="auto"/>
          <w:sz w:val="22"/>
          <w:szCs w:val="22"/>
        </w:rPr>
        <w:t xml:space="preserve">and produced a mid-year SPPC Fund monitoring and performance report for National Primary Care Board in November 2022.  The team are currently working on the SPPC Fund End of Year 1 report for National Primary Care Board in the summer to capture expenditure, outputs/outcomes, reflections and learning and to </w:t>
      </w:r>
      <w:r>
        <w:rPr>
          <w:rFonts w:ascii="Verdana" w:eastAsia="Verdana" w:hAnsi="Verdana" w:cs="Verdana"/>
          <w:sz w:val="22"/>
          <w:szCs w:val="22"/>
        </w:rPr>
        <w:t xml:space="preserve">help to inform future investment prioritisation.   </w:t>
      </w:r>
    </w:p>
    <w:p w:rsidR="00175A1C" w:rsidRDefault="00175A1C" w:rsidP="00175A1C">
      <w:pPr>
        <w:pStyle w:val="Body"/>
        <w:jc w:val="both"/>
        <w:rPr>
          <w:rFonts w:ascii="Verdana" w:hAnsi="Verdana"/>
          <w:color w:val="auto"/>
          <w:sz w:val="22"/>
          <w:szCs w:val="22"/>
        </w:rPr>
      </w:pPr>
    </w:p>
    <w:p w:rsidR="00175A1C" w:rsidRDefault="00175A1C" w:rsidP="00175A1C">
      <w:pPr>
        <w:pStyle w:val="Heading2"/>
        <w:rPr>
          <w:rFonts w:cs="Arial"/>
          <w:color w:val="auto"/>
          <w:sz w:val="28"/>
          <w:szCs w:val="28"/>
        </w:rPr>
      </w:pPr>
      <w:bookmarkStart w:id="19" w:name="_Toc133448235"/>
      <w:r>
        <w:rPr>
          <w:rFonts w:cs="Arial"/>
          <w:color w:val="auto"/>
          <w:sz w:val="28"/>
          <w:szCs w:val="28"/>
        </w:rPr>
        <w:t>All Wales Practice Manager Network (Gwella)</w:t>
      </w:r>
      <w:bookmarkEnd w:id="19"/>
    </w:p>
    <w:p w:rsidR="00175A1C" w:rsidRDefault="00175A1C" w:rsidP="00175A1C">
      <w:pPr>
        <w:pStyle w:val="Heading2"/>
        <w:rPr>
          <w:rFonts w:cs="Arial"/>
          <w:color w:val="auto"/>
          <w:sz w:val="24"/>
          <w:szCs w:val="24"/>
        </w:rPr>
      </w:pPr>
    </w:p>
    <w:p w:rsidR="00175A1C" w:rsidRDefault="00175A1C" w:rsidP="00175A1C">
      <w:pPr>
        <w:pStyle w:val="Body"/>
        <w:jc w:val="both"/>
        <w:rPr>
          <w:rFonts w:ascii="Verdana" w:eastAsia="Verdana" w:hAnsi="Verdana" w:cs="Verdana"/>
          <w:sz w:val="22"/>
          <w:szCs w:val="22"/>
        </w:rPr>
      </w:pPr>
      <w:r>
        <w:rPr>
          <w:rFonts w:ascii="Verdana" w:eastAsia="Verdana" w:hAnsi="Verdana" w:cs="Verdana"/>
          <w:sz w:val="22"/>
          <w:szCs w:val="22"/>
        </w:rPr>
        <w:t xml:space="preserve">All Wales Practice Manager Network established on HEIW Gwella platform and launched at All Wales Practice Manager Conference in November 2022.  Demonstrations made to Practice Managers with ongoing activity to promote the network. </w:t>
      </w:r>
    </w:p>
    <w:p w:rsidR="00175A1C" w:rsidRDefault="00175A1C" w:rsidP="00175A1C">
      <w:pPr>
        <w:pStyle w:val="Body"/>
        <w:jc w:val="both"/>
        <w:rPr>
          <w:rFonts w:ascii="Verdana" w:eastAsia="Verdana" w:hAnsi="Verdana" w:cs="Verdana"/>
          <w:b/>
          <w:bCs/>
          <w:sz w:val="22"/>
          <w:szCs w:val="22"/>
        </w:rPr>
      </w:pPr>
    </w:p>
    <w:p w:rsidR="00175A1C" w:rsidRDefault="00175A1C" w:rsidP="00175A1C">
      <w:pPr>
        <w:pStyle w:val="Body"/>
        <w:jc w:val="both"/>
        <w:rPr>
          <w:rFonts w:ascii="Verdana" w:eastAsia="Verdana" w:hAnsi="Verdana" w:cs="Verdana"/>
          <w:b/>
          <w:bCs/>
          <w:sz w:val="28"/>
          <w:szCs w:val="28"/>
        </w:rPr>
      </w:pPr>
      <w:r>
        <w:rPr>
          <w:rFonts w:ascii="Verdana" w:eastAsia="Verdana" w:hAnsi="Verdana" w:cs="Verdana"/>
          <w:b/>
          <w:bCs/>
          <w:sz w:val="28"/>
          <w:szCs w:val="28"/>
        </w:rPr>
        <w:t>Cluster Development Support Officer Network (CDSON)</w:t>
      </w:r>
    </w:p>
    <w:p w:rsidR="00175A1C" w:rsidRDefault="00175A1C" w:rsidP="00175A1C">
      <w:pPr>
        <w:pStyle w:val="Body"/>
        <w:jc w:val="both"/>
        <w:rPr>
          <w:rFonts w:ascii="Verdana" w:eastAsia="Verdana" w:hAnsi="Verdana" w:cs="Verdana"/>
          <w:sz w:val="22"/>
          <w:szCs w:val="22"/>
        </w:rPr>
      </w:pPr>
      <w:r>
        <w:rPr>
          <w:rFonts w:ascii="Verdana" w:eastAsia="Verdana" w:hAnsi="Verdana" w:cs="Verdana"/>
          <w:sz w:val="22"/>
          <w:szCs w:val="22"/>
        </w:rPr>
        <w:t xml:space="preserve">The Division coordinates and Chairs the Cluster Development Support Officer Network; an informal community of interest to bring together health board staff from across Wales who work in and around clusters to share learning and engage with the ACD programme.  </w:t>
      </w:r>
    </w:p>
    <w:p w:rsidR="00175A1C" w:rsidRDefault="00175A1C" w:rsidP="00175A1C">
      <w:pPr>
        <w:pStyle w:val="Body"/>
        <w:jc w:val="both"/>
        <w:rPr>
          <w:rFonts w:ascii="Verdana" w:eastAsia="Verdana" w:hAnsi="Verdana" w:cs="Verdana"/>
          <w:b/>
          <w:bCs/>
          <w:sz w:val="28"/>
          <w:szCs w:val="28"/>
        </w:rPr>
      </w:pPr>
      <w:r>
        <w:rPr>
          <w:rFonts w:ascii="Verdana" w:eastAsia="Verdana" w:hAnsi="Verdana" w:cs="Verdana"/>
          <w:b/>
          <w:bCs/>
          <w:sz w:val="28"/>
          <w:szCs w:val="28"/>
        </w:rPr>
        <w:t>Primary Care Public Health Networks</w:t>
      </w:r>
    </w:p>
    <w:p w:rsidR="00175A1C" w:rsidRDefault="00175A1C" w:rsidP="00175A1C">
      <w:pPr>
        <w:pStyle w:val="Body"/>
        <w:jc w:val="both"/>
        <w:rPr>
          <w:rFonts w:ascii="Verdana" w:eastAsia="Verdana" w:hAnsi="Verdana" w:cs="Verdana"/>
          <w:sz w:val="22"/>
          <w:szCs w:val="22"/>
        </w:rPr>
      </w:pPr>
      <w:r>
        <w:rPr>
          <w:rFonts w:ascii="Verdana" w:eastAsia="Verdana" w:hAnsi="Verdana" w:cs="Verdana"/>
          <w:sz w:val="22"/>
          <w:szCs w:val="22"/>
        </w:rPr>
        <w:t xml:space="preserve">The Division coordinates the Primary Care Interests Group (PCIG) and Primary care Leads Network (PCLN) that bring together Local Public Health team primary care leads and PHW Directorates to synergise and harness the capacity of the public health system, sharing learning and receive briefings on programmes of work to strengthen population health impact of primary care in Wales. The network discussion topics / presentations have included ACD delivery, the emerging Strategic Workforce Plan for Primary Care in Wales; Community Infrastructure programme, Population Health approaches across Wales, Inverse Care Law Programme, the refresh of the Cluster Profiles (2014), developing the Public Health System (MOU2) </w:t>
      </w:r>
    </w:p>
    <w:p w:rsidR="00175A1C" w:rsidRDefault="00175A1C" w:rsidP="00175A1C">
      <w:pPr>
        <w:pStyle w:val="Body"/>
        <w:jc w:val="both"/>
        <w:rPr>
          <w:rFonts w:ascii="Verdana" w:eastAsia="Verdana" w:hAnsi="Verdana" w:cs="Verdana"/>
        </w:rPr>
      </w:pPr>
      <w:r>
        <w:rPr>
          <w:noProof/>
          <w:lang w:eastAsia="en-GB"/>
        </w:rPr>
        <w:drawing>
          <wp:anchor distT="0" distB="0" distL="114300" distR="114300" simplePos="0" relativeHeight="251704320" behindDoc="1" locked="0" layoutInCell="1" allowOverlap="1" wp14:anchorId="1B928404" wp14:editId="5DDCA906">
            <wp:simplePos x="0" y="0"/>
            <wp:positionH relativeFrom="column">
              <wp:posOffset>4925060</wp:posOffset>
            </wp:positionH>
            <wp:positionV relativeFrom="paragraph">
              <wp:posOffset>76200</wp:posOffset>
            </wp:positionV>
            <wp:extent cx="1760220" cy="2520315"/>
            <wp:effectExtent l="0" t="0" r="0" b="0"/>
            <wp:wrapTight wrapText="bothSides">
              <wp:wrapPolygon edited="0">
                <wp:start x="0" y="0"/>
                <wp:lineTo x="0" y="21388"/>
                <wp:lineTo x="21273" y="21388"/>
                <wp:lineTo x="21273"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9330079"/>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760220" cy="2520315"/>
                    </a:xfrm>
                    <a:prstGeom prst="rect">
                      <a:avLst/>
                    </a:prstGeom>
                    <a:noFill/>
                  </pic:spPr>
                </pic:pic>
              </a:graphicData>
            </a:graphic>
            <wp14:sizeRelH relativeFrom="margin">
              <wp14:pctWidth>0</wp14:pctWidth>
            </wp14:sizeRelH>
            <wp14:sizeRelV relativeFrom="margin">
              <wp14:pctHeight>0</wp14:pctHeight>
            </wp14:sizeRelV>
          </wp:anchor>
        </w:drawing>
      </w:r>
    </w:p>
    <w:p w:rsidR="00175A1C" w:rsidRDefault="00175A1C" w:rsidP="00175A1C">
      <w:pPr>
        <w:pStyle w:val="Body"/>
        <w:jc w:val="both"/>
        <w:rPr>
          <w:rFonts w:ascii="Verdana" w:hAnsi="Verdana"/>
          <w:b/>
          <w:bCs/>
          <w:color w:val="auto"/>
          <w:sz w:val="28"/>
          <w:szCs w:val="28"/>
        </w:rPr>
      </w:pPr>
      <w:r>
        <w:rPr>
          <w:rFonts w:ascii="Verdana" w:hAnsi="Verdana"/>
          <w:b/>
          <w:bCs/>
          <w:color w:val="auto"/>
          <w:sz w:val="28"/>
          <w:szCs w:val="28"/>
        </w:rPr>
        <w:t>Veterans and Ex-Service Personnel Health</w:t>
      </w:r>
    </w:p>
    <w:p w:rsidR="00175A1C" w:rsidRDefault="00175A1C" w:rsidP="00175A1C">
      <w:pPr>
        <w:spacing w:line="360" w:lineRule="auto"/>
        <w:jc w:val="both"/>
        <w:rPr>
          <w:rFonts w:ascii="Verdana" w:eastAsia="Verdana" w:hAnsi="Verdana" w:cs="Verdana"/>
          <w:color w:val="343A40"/>
          <w:sz w:val="28"/>
          <w:szCs w:val="28"/>
        </w:rPr>
      </w:pPr>
    </w:p>
    <w:p w:rsidR="00175A1C" w:rsidRDefault="00175A1C" w:rsidP="00175A1C">
      <w:pPr>
        <w:spacing w:line="360" w:lineRule="auto"/>
        <w:jc w:val="both"/>
        <w:rPr>
          <w:rFonts w:ascii="Verdana" w:hAnsi="Verdana" w:cs="Segoe UI"/>
          <w:color w:val="343A40"/>
          <w:sz w:val="22"/>
          <w:szCs w:val="22"/>
          <w:shd w:val="clear" w:color="auto" w:fill="FFFFFF"/>
        </w:rPr>
      </w:pPr>
      <w:bookmarkStart w:id="20" w:name="_Hlk133284917"/>
      <w:r>
        <w:rPr>
          <w:rFonts w:ascii="Verdana" w:eastAsia="Verdana" w:hAnsi="Verdana" w:cs="Verdana"/>
          <w:color w:val="343A40"/>
          <w:sz w:val="22"/>
          <w:szCs w:val="22"/>
        </w:rPr>
        <w:t xml:space="preserve">The </w:t>
      </w:r>
      <w:hyperlink r:id="rId84" w:history="1">
        <w:r>
          <w:rPr>
            <w:rStyle w:val="Hyperlink"/>
            <w:rFonts w:ascii="Verdana" w:eastAsia="Verdana" w:hAnsi="Verdana" w:cs="Verdana"/>
            <w:sz w:val="22"/>
            <w:szCs w:val="22"/>
          </w:rPr>
          <w:t>Ex Service / Veterans Health – Guidance for General Practices</w:t>
        </w:r>
      </w:hyperlink>
      <w:r>
        <w:rPr>
          <w:rFonts w:ascii="Verdana" w:eastAsia="Verdana" w:hAnsi="Verdana" w:cs="Verdana"/>
          <w:i/>
          <w:iCs/>
          <w:color w:val="343A40"/>
          <w:sz w:val="22"/>
          <w:szCs w:val="22"/>
        </w:rPr>
        <w:t xml:space="preserve">, 2022 </w:t>
      </w:r>
      <w:r>
        <w:rPr>
          <w:rFonts w:ascii="Verdana" w:eastAsia="Verdana" w:hAnsi="Verdana" w:cs="Verdana"/>
          <w:color w:val="343A40"/>
          <w:sz w:val="22"/>
          <w:szCs w:val="22"/>
        </w:rPr>
        <w:t>provides detail of the duty on all general practices in Wales to provide care, signpost to and/or refer to relevant services where appropriate any veteran or veteran family member registered with the practice.</w:t>
      </w:r>
    </w:p>
    <w:bookmarkEnd w:id="20"/>
    <w:p w:rsidR="00175A1C" w:rsidRDefault="00175A1C" w:rsidP="00175A1C">
      <w:pPr>
        <w:spacing w:line="360" w:lineRule="auto"/>
        <w:jc w:val="both"/>
        <w:rPr>
          <w:rFonts w:ascii="Verdana" w:hAnsi="Verdana" w:cs="Segoe UI"/>
          <w:color w:val="343A40"/>
          <w:sz w:val="22"/>
          <w:szCs w:val="22"/>
          <w:shd w:val="clear" w:color="auto" w:fill="FFFFFF"/>
        </w:rPr>
      </w:pPr>
    </w:p>
    <w:p w:rsidR="00175A1C" w:rsidRDefault="00175A1C" w:rsidP="00175A1C">
      <w:pPr>
        <w:spacing w:line="360" w:lineRule="auto"/>
        <w:jc w:val="both"/>
        <w:rPr>
          <w:rFonts w:ascii="Verdana" w:hAnsi="Verdana" w:cs="Segoe UI"/>
          <w:color w:val="343A40"/>
          <w:sz w:val="22"/>
          <w:szCs w:val="22"/>
          <w:shd w:val="clear" w:color="auto" w:fill="FFFFFF"/>
        </w:rPr>
      </w:pPr>
    </w:p>
    <w:p w:rsidR="00175A1C" w:rsidRDefault="00175A1C" w:rsidP="00175A1C"/>
    <w:p w:rsidR="00175A1C" w:rsidRDefault="00175A1C" w:rsidP="00175A1C">
      <w:pPr>
        <w:pStyle w:val="Body"/>
        <w:jc w:val="both"/>
      </w:pPr>
      <w:bookmarkStart w:id="21" w:name="_Hlk133284961"/>
    </w:p>
    <w:p w:rsidR="00175A1C" w:rsidRDefault="00175A1C" w:rsidP="00175A1C">
      <w:pPr>
        <w:pStyle w:val="Body"/>
        <w:jc w:val="center"/>
        <w:rPr>
          <w:rFonts w:ascii="Verdana" w:hAnsi="Verdana"/>
          <w:sz w:val="22"/>
          <w:szCs w:val="22"/>
        </w:rPr>
      </w:pPr>
      <w:r>
        <w:t xml:space="preserve">. </w:t>
      </w:r>
      <w:bookmarkEnd w:id="21"/>
      <w:r>
        <w:rPr>
          <w:noProof/>
          <w:lang w:eastAsia="en-GB"/>
        </w:rPr>
        <w:drawing>
          <wp:inline distT="0" distB="0" distL="0" distR="0" wp14:anchorId="5EDF5DB3" wp14:editId="5DC5DFF3">
            <wp:extent cx="5846445" cy="2413635"/>
            <wp:effectExtent l="0" t="0" r="1905"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846445" cy="2413635"/>
                    </a:xfrm>
                    <a:prstGeom prst="rect">
                      <a:avLst/>
                    </a:prstGeom>
                    <a:noFill/>
                    <a:ln>
                      <a:noFill/>
                    </a:ln>
                  </pic:spPr>
                </pic:pic>
              </a:graphicData>
            </a:graphic>
          </wp:inline>
        </w:drawing>
      </w:r>
    </w:p>
    <w:p w:rsidR="00175A1C" w:rsidRDefault="00175A1C" w:rsidP="00311E5E">
      <w:pPr>
        <w:pStyle w:val="Body"/>
        <w:jc w:val="both"/>
        <w:rPr>
          <w:rFonts w:ascii="Verdana" w:hAnsi="Verdana"/>
          <w:sz w:val="22"/>
          <w:szCs w:val="22"/>
        </w:rPr>
      </w:pPr>
    </w:p>
    <w:p w:rsidR="00311E5E" w:rsidRDefault="00311E5E" w:rsidP="00311E5E">
      <w:pPr>
        <w:pStyle w:val="Body"/>
        <w:jc w:val="both"/>
        <w:rPr>
          <w:rFonts w:ascii="Verdana" w:hAnsi="Verdana"/>
          <w:sz w:val="22"/>
          <w:szCs w:val="22"/>
        </w:rPr>
      </w:pPr>
    </w:p>
    <w:p w:rsidR="00311E5E" w:rsidRDefault="00311E5E" w:rsidP="00E47569">
      <w:pPr>
        <w:spacing w:line="360" w:lineRule="auto"/>
        <w:jc w:val="both"/>
        <w:rPr>
          <w:rFonts w:ascii="Verdana" w:hAnsi="Verdana" w:cs="Segoe UI"/>
          <w:color w:val="343A40"/>
          <w:sz w:val="22"/>
          <w:szCs w:val="22"/>
          <w:shd w:val="clear" w:color="auto" w:fill="FFFFFF"/>
        </w:rPr>
      </w:pPr>
      <w:r w:rsidRPr="00D02044">
        <w:rPr>
          <w:rFonts w:ascii="Ubuntu" w:hAnsi="Ubuntu"/>
          <w:noProof/>
          <w:lang w:eastAsia="en-GB"/>
        </w:rPr>
        <mc:AlternateContent>
          <mc:Choice Requires="wps">
            <w:drawing>
              <wp:anchor distT="0" distB="0" distL="114300" distR="114300" simplePos="0" relativeHeight="251699200" behindDoc="1" locked="0" layoutInCell="1" allowOverlap="1" wp14:anchorId="31CC6726" wp14:editId="099DE75D">
                <wp:simplePos x="0" y="0"/>
                <wp:positionH relativeFrom="margin">
                  <wp:posOffset>0</wp:posOffset>
                </wp:positionH>
                <wp:positionV relativeFrom="paragraph">
                  <wp:posOffset>-635</wp:posOffset>
                </wp:positionV>
                <wp:extent cx="6650182" cy="60960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6650182" cy="609600"/>
                        </a:xfrm>
                        <a:prstGeom prst="rect">
                          <a:avLst/>
                        </a:prstGeom>
                        <a:gradFill>
                          <a:gsLst>
                            <a:gs pos="0">
                              <a:srgbClr val="3A5384"/>
                            </a:gs>
                            <a:gs pos="100000">
                              <a:srgbClr val="34B9CE"/>
                            </a:gs>
                          </a:gsLst>
                          <a:lin ang="0" scaled="0"/>
                        </a:gradFill>
                        <a:ln w="6350">
                          <a:noFill/>
                        </a:ln>
                      </wps:spPr>
                      <wps:txbx>
                        <w:txbxContent>
                          <w:p w:rsidR="00311E5E" w:rsidRDefault="00311E5E" w:rsidP="00311E5E">
                            <w:pPr>
                              <w:pStyle w:val="Heading"/>
                              <w:rPr>
                                <w:sz w:val="34"/>
                              </w:rPr>
                            </w:pPr>
                            <w:r>
                              <w:rPr>
                                <w:sz w:val="34"/>
                              </w:rPr>
                              <w:t xml:space="preserve">Dental Public Health </w:t>
                            </w:r>
                          </w:p>
                          <w:p w:rsidR="00311E5E" w:rsidRPr="0063641B" w:rsidRDefault="00311E5E" w:rsidP="00311E5E">
                            <w:pPr>
                              <w:rPr>
                                <w:color w:val="FFFFFF" w:themeColor="background1"/>
                                <w:sz w:val="22"/>
                                <w:szCs w:val="22"/>
                              </w:rPr>
                            </w:pPr>
                            <w:r w:rsidRPr="0063641B">
                              <w:rPr>
                                <w:rFonts w:ascii="SegoeUI" w:hAnsi="SegoeUI" w:cs="SegoeUI"/>
                                <w:color w:val="FFFFFF" w:themeColor="background1"/>
                                <w:sz w:val="28"/>
                                <w:szCs w:val="28"/>
                              </w:rPr>
                              <w:t>Supporting and leading oral health and dental services improvement in Wales</w:t>
                            </w:r>
                          </w:p>
                          <w:p w:rsidR="00311E5E" w:rsidRPr="003D25B4" w:rsidRDefault="00311E5E" w:rsidP="00311E5E">
                            <w:pPr>
                              <w:pStyle w:val="Heading"/>
                              <w:rPr>
                                <w:sz w:val="34"/>
                              </w:rPr>
                            </w:pPr>
                          </w:p>
                        </w:txbxContent>
                      </wps:txbx>
                      <wps:bodyPr rot="0" spcFirstLastPara="0" vertOverflow="overflow" horzOverflow="overflow" vert="horz" wrap="square" lIns="18000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CC6726" id="Text Box 20" o:spid="_x0000_s1034" type="#_x0000_t202" style="position:absolute;left:0;text-align:left;margin-left:0;margin-top:-.05pt;width:523.65pt;height:48pt;z-index:-2516172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" fillcolor="#3a5384" stroked="f" strokeweight=".5pt">
                <v:fill color2="#34b9ce" angle="90" focus="100%" type="gradient">
                  <o:fill v:ext="view" type="gradientUnscaled"/>
                </v:fill>
                <v:textbox inset="5mm">
                  <w:txbxContent>
                    <w:p w:rsidR="00311E5E" w:rsidRDefault="00311E5E" w:rsidP="00311E5E">
                      <w:pPr>
                        <w:pStyle w:val="Heading"/>
                        <w:rPr>
                          <w:sz w:val="34"/>
                        </w:rPr>
                      </w:pPr>
                      <w:r>
                        <w:rPr>
                          <w:sz w:val="34"/>
                        </w:rPr>
                        <w:t xml:space="preserve">Dental Public Health </w:t>
                      </w:r>
                    </w:p>
                    <w:p w:rsidR="00311E5E" w:rsidRPr="0063641B" w:rsidRDefault="00311E5E" w:rsidP="00311E5E">
                      <w:pPr>
                        <w:rPr>
                          <w:color w:val="FFFFFF" w:themeColor="background1"/>
                          <w:sz w:val="22"/>
                          <w:szCs w:val="22"/>
                        </w:rPr>
                      </w:pPr>
                      <w:r w:rsidRPr="0063641B">
                        <w:rPr>
                          <w:rFonts w:ascii="SegoeUI" w:hAnsi="SegoeUI" w:cs="SegoeUI"/>
                          <w:color w:val="FFFFFF" w:themeColor="background1"/>
                          <w:sz w:val="28"/>
                          <w:szCs w:val="28"/>
                        </w:rPr>
                        <w:t>Supporting and leading oral health and dental services improvement in Wales</w:t>
                      </w:r>
                    </w:p>
                    <w:p w:rsidR="00311E5E" w:rsidRPr="003D25B4" w:rsidRDefault="00311E5E" w:rsidP="00311E5E">
                      <w:pPr>
                        <w:pStyle w:val="Heading"/>
                        <w:rPr>
                          <w:sz w:val="34"/>
                        </w:rPr>
                      </w:pPr>
                    </w:p>
                  </w:txbxContent>
                </v:textbox>
                <w10:wrap anchorx="margin"/>
              </v:shape>
            </w:pict>
          </mc:Fallback>
        </mc:AlternateContent>
      </w:r>
    </w:p>
    <w:p w:rsidR="00311E5E" w:rsidRDefault="00311E5E" w:rsidP="00E47569">
      <w:pPr>
        <w:pStyle w:val="Heading2"/>
        <w:rPr>
          <w:rFonts w:cs="Arial"/>
          <w:color w:val="auto"/>
          <w:sz w:val="24"/>
          <w:szCs w:val="24"/>
        </w:rPr>
      </w:pPr>
      <w:bookmarkStart w:id="22" w:name="_Toc133226255"/>
    </w:p>
    <w:p w:rsidR="00311E5E" w:rsidRDefault="00311E5E" w:rsidP="00E47569">
      <w:pPr>
        <w:pStyle w:val="Heading2"/>
        <w:rPr>
          <w:rFonts w:cs="Arial"/>
          <w:color w:val="auto"/>
          <w:sz w:val="24"/>
          <w:szCs w:val="24"/>
        </w:rPr>
      </w:pPr>
    </w:p>
    <w:p w:rsidR="00E47569" w:rsidRPr="00175A1C" w:rsidRDefault="00E47569" w:rsidP="00E47569">
      <w:pPr>
        <w:pStyle w:val="Heading2"/>
        <w:rPr>
          <w:rFonts w:cs="Arial"/>
          <w:color w:val="auto"/>
          <w:sz w:val="28"/>
          <w:szCs w:val="28"/>
        </w:rPr>
      </w:pPr>
      <w:r w:rsidRPr="00175A1C">
        <w:rPr>
          <w:rFonts w:cs="Arial"/>
          <w:color w:val="auto"/>
          <w:sz w:val="28"/>
          <w:szCs w:val="28"/>
        </w:rPr>
        <w:t>Oral Health Improvement</w:t>
      </w:r>
      <w:bookmarkEnd w:id="22"/>
    </w:p>
    <w:p w:rsidR="00E47569" w:rsidRPr="000B327C" w:rsidRDefault="00E47569" w:rsidP="00E47569"/>
    <w:p w:rsidR="00E47569" w:rsidRPr="00AA1D04" w:rsidRDefault="00E47569" w:rsidP="00E47569">
      <w:pPr>
        <w:pStyle w:val="Body"/>
        <w:jc w:val="both"/>
        <w:rPr>
          <w:rFonts w:ascii="Verdana" w:hAnsi="Verdana"/>
          <w:color w:val="auto"/>
          <w:sz w:val="22"/>
          <w:szCs w:val="22"/>
        </w:rPr>
      </w:pPr>
      <w:r w:rsidRPr="00CF3830">
        <w:rPr>
          <w:rFonts w:ascii="Verdana" w:hAnsi="Verdana"/>
          <w:noProof/>
          <w:color w:val="auto"/>
          <w:sz w:val="22"/>
          <w:szCs w:val="22"/>
          <w:lang w:eastAsia="en-GB"/>
        </w:rPr>
        <w:drawing>
          <wp:anchor distT="0" distB="0" distL="114300" distR="114300" simplePos="0" relativeHeight="251684864" behindDoc="1" locked="0" layoutInCell="1" allowOverlap="1" wp14:anchorId="4C619DFE" wp14:editId="57F70625">
            <wp:simplePos x="0" y="0"/>
            <wp:positionH relativeFrom="column">
              <wp:posOffset>7495</wp:posOffset>
            </wp:positionH>
            <wp:positionV relativeFrom="paragraph">
              <wp:posOffset>-1551</wp:posOffset>
            </wp:positionV>
            <wp:extent cx="1272650" cy="1226926"/>
            <wp:effectExtent l="0" t="0" r="3810" b="0"/>
            <wp:wrapTight wrapText="bothSides">
              <wp:wrapPolygon edited="0">
                <wp:start x="0" y="0"/>
                <wp:lineTo x="0" y="21130"/>
                <wp:lineTo x="21341" y="21130"/>
                <wp:lineTo x="21341"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extLst>
                        <a:ext uri="{28A0092B-C50C-407E-A947-70E740481C1C}">
                          <a14:useLocalDpi xmlns:a14="http://schemas.microsoft.com/office/drawing/2010/main" val="0"/>
                        </a:ext>
                      </a:extLst>
                    </a:blip>
                    <a:stretch>
                      <a:fillRect/>
                    </a:stretch>
                  </pic:blipFill>
                  <pic:spPr>
                    <a:xfrm>
                      <a:off x="0" y="0"/>
                      <a:ext cx="1272650" cy="1226926"/>
                    </a:xfrm>
                    <a:prstGeom prst="rect">
                      <a:avLst/>
                    </a:prstGeom>
                  </pic:spPr>
                </pic:pic>
              </a:graphicData>
            </a:graphic>
            <wp14:sizeRelH relativeFrom="page">
              <wp14:pctWidth>0</wp14:pctWidth>
            </wp14:sizeRelH>
            <wp14:sizeRelV relativeFrom="page">
              <wp14:pctHeight>0</wp14:pctHeight>
            </wp14:sizeRelV>
          </wp:anchor>
        </w:drawing>
      </w:r>
      <w:r w:rsidRPr="00CF3830">
        <w:rPr>
          <w:rFonts w:ascii="Verdana" w:hAnsi="Verdana"/>
          <w:color w:val="auto"/>
          <w:sz w:val="22"/>
          <w:szCs w:val="22"/>
        </w:rPr>
        <w:t xml:space="preserve"> </w:t>
      </w:r>
      <w:r w:rsidRPr="00AA1D04">
        <w:rPr>
          <w:rFonts w:ascii="Verdana" w:hAnsi="Verdana"/>
          <w:color w:val="auto"/>
          <w:sz w:val="22"/>
          <w:szCs w:val="22"/>
        </w:rPr>
        <w:t>Designed to Smile, the national oral health improvement programme for children (</w:t>
      </w:r>
      <w:hyperlink r:id="rId87">
        <w:r w:rsidRPr="00AA1D04">
          <w:rPr>
            <w:rStyle w:val="Hyperlink"/>
            <w:rFonts w:ascii="Verdana" w:hAnsi="Verdana"/>
            <w:sz w:val="22"/>
            <w:szCs w:val="22"/>
          </w:rPr>
          <w:t>www.designedtosmile.org</w:t>
        </w:r>
      </w:hyperlink>
      <w:r w:rsidRPr="00AA1D04">
        <w:rPr>
          <w:rFonts w:ascii="Verdana" w:hAnsi="Verdana"/>
          <w:color w:val="auto"/>
          <w:sz w:val="22"/>
          <w:szCs w:val="22"/>
        </w:rPr>
        <w:t xml:space="preserve">) continued to work towards regaining coverage that was suspended during the pandemic. A new monitoring process was </w:t>
      </w:r>
      <w:r w:rsidR="0025234E" w:rsidRPr="00AA1D04">
        <w:rPr>
          <w:rFonts w:ascii="Verdana" w:hAnsi="Verdana"/>
          <w:color w:val="auto"/>
          <w:sz w:val="22"/>
          <w:szCs w:val="22"/>
        </w:rPr>
        <w:t>implemented,</w:t>
      </w:r>
      <w:r w:rsidRPr="00AA1D04">
        <w:rPr>
          <w:rFonts w:ascii="Verdana" w:hAnsi="Verdana"/>
          <w:color w:val="auto"/>
          <w:sz w:val="22"/>
          <w:szCs w:val="22"/>
        </w:rPr>
        <w:t xml:space="preserve"> and the 2021/22 annual report was published in September 2022. </w:t>
      </w:r>
    </w:p>
    <w:p w:rsidR="00E47569" w:rsidRPr="00AA1D04" w:rsidRDefault="00E47569" w:rsidP="00E47569">
      <w:pPr>
        <w:pStyle w:val="Body"/>
        <w:jc w:val="both"/>
        <w:rPr>
          <w:sz w:val="22"/>
          <w:szCs w:val="22"/>
        </w:rPr>
      </w:pPr>
      <w:r w:rsidRPr="00AA1D04">
        <w:rPr>
          <w:rFonts w:ascii="Verdana" w:hAnsi="Verdana"/>
          <w:color w:val="auto"/>
          <w:sz w:val="22"/>
          <w:szCs w:val="22"/>
        </w:rPr>
        <w:t xml:space="preserve">In 2022, the dental public health team became more closely involved in Gwen Am Byth, the national oral health improvement programme for dependent older adults </w:t>
      </w:r>
      <w:hyperlink r:id="rId88">
        <w:r w:rsidRPr="00AA1D04">
          <w:rPr>
            <w:rStyle w:val="Hyperlink"/>
            <w:rFonts w:ascii="Verdana" w:hAnsi="Verdana"/>
            <w:sz w:val="22"/>
            <w:szCs w:val="22"/>
          </w:rPr>
          <w:t>Gwên am byth - Public Health Wales (nhs.wales),</w:t>
        </w:r>
      </w:hyperlink>
      <w:r w:rsidRPr="00AA1D04">
        <w:rPr>
          <w:rFonts w:ascii="Verdana" w:hAnsi="Verdana"/>
          <w:sz w:val="22"/>
          <w:szCs w:val="22"/>
        </w:rPr>
        <w:t xml:space="preserve"> chairing the national advisory group, and taking responsibility for annual reporting to Welsh Government</w:t>
      </w:r>
      <w:r w:rsidRPr="00AA1D04">
        <w:rPr>
          <w:sz w:val="22"/>
          <w:szCs w:val="22"/>
        </w:rPr>
        <w:t xml:space="preserve">. </w:t>
      </w:r>
    </w:p>
    <w:p w:rsidR="00E47569" w:rsidRPr="00F24681" w:rsidRDefault="00E47569" w:rsidP="00E47569">
      <w:pPr>
        <w:pStyle w:val="Body"/>
        <w:jc w:val="both"/>
        <w:rPr>
          <w:rFonts w:ascii="Verdana" w:hAnsi="Verdana"/>
          <w:sz w:val="22"/>
          <w:szCs w:val="22"/>
        </w:rPr>
      </w:pPr>
    </w:p>
    <w:p w:rsidR="00E47569" w:rsidRPr="00175A1C" w:rsidRDefault="00E47569" w:rsidP="00E47569">
      <w:pPr>
        <w:pStyle w:val="Heading2"/>
        <w:rPr>
          <w:rFonts w:cs="Arial"/>
          <w:sz w:val="28"/>
          <w:szCs w:val="28"/>
        </w:rPr>
      </w:pPr>
      <w:bookmarkStart w:id="23" w:name="_Toc133226256"/>
      <w:r w:rsidRPr="00175A1C">
        <w:rPr>
          <w:rFonts w:cs="Arial"/>
          <w:color w:val="auto"/>
          <w:sz w:val="28"/>
          <w:szCs w:val="28"/>
        </w:rPr>
        <w:t>Oral Health Intelligence (including dental epidemiology)</w:t>
      </w:r>
      <w:bookmarkEnd w:id="23"/>
    </w:p>
    <w:p w:rsidR="00E47569" w:rsidRPr="00F67E29" w:rsidRDefault="00E47569" w:rsidP="00E47569">
      <w:pPr>
        <w:pStyle w:val="Body"/>
        <w:jc w:val="both"/>
        <w:rPr>
          <w:rFonts w:ascii="Verdana" w:hAnsi="Verdana"/>
          <w:color w:val="auto"/>
          <w:sz w:val="22"/>
          <w:szCs w:val="22"/>
        </w:rPr>
      </w:pPr>
      <w:r w:rsidRPr="00F67E29">
        <w:rPr>
          <w:rFonts w:ascii="Verdana" w:hAnsi="Verdana"/>
          <w:color w:val="auto"/>
          <w:sz w:val="22"/>
          <w:szCs w:val="22"/>
        </w:rPr>
        <w:t>D</w:t>
      </w:r>
      <w:r w:rsidR="00AA1D04">
        <w:rPr>
          <w:rFonts w:ascii="Verdana" w:hAnsi="Verdana"/>
          <w:color w:val="auto"/>
          <w:sz w:val="22"/>
          <w:szCs w:val="22"/>
        </w:rPr>
        <w:t>e</w:t>
      </w:r>
      <w:r w:rsidRPr="00F67E29">
        <w:rPr>
          <w:rFonts w:ascii="Verdana" w:hAnsi="Verdana"/>
          <w:color w:val="auto"/>
          <w:sz w:val="22"/>
          <w:szCs w:val="22"/>
        </w:rPr>
        <w:t xml:space="preserve">ntal Public Health team is responsible for the design, conduct and delivery of the Dental Epidemiology Programme for Wales, working alongside the Welsh Oral Health Information Unit (WOHIU) within the Cardiff University School of Dentistry and Community Dental Services (CDSs) in Health Boards. This programme had to be paused during the pandemic. </w:t>
      </w:r>
    </w:p>
    <w:p w:rsidR="00E47569" w:rsidRPr="00F67E29" w:rsidRDefault="00E47569" w:rsidP="00E47569">
      <w:pPr>
        <w:pStyle w:val="Body"/>
        <w:jc w:val="both"/>
        <w:rPr>
          <w:rFonts w:ascii="Verdana" w:hAnsi="Verdana"/>
          <w:color w:val="auto"/>
          <w:sz w:val="22"/>
          <w:szCs w:val="22"/>
        </w:rPr>
      </w:pPr>
      <w:r w:rsidRPr="00F67E29">
        <w:rPr>
          <w:rFonts w:ascii="Verdana" w:hAnsi="Verdana"/>
          <w:color w:val="auto"/>
          <w:sz w:val="22"/>
          <w:szCs w:val="22"/>
        </w:rPr>
        <w:t xml:space="preserve">The recovery of the programme started in 2022 with engagement with relevant stakeholders and teams and planning for the </w:t>
      </w:r>
      <w:bookmarkStart w:id="24" w:name="_Hlk134006958"/>
      <w:r w:rsidRPr="00F67E29">
        <w:rPr>
          <w:rFonts w:ascii="Verdana" w:hAnsi="Verdana"/>
          <w:color w:val="auto"/>
          <w:sz w:val="22"/>
          <w:szCs w:val="22"/>
        </w:rPr>
        <w:t>dental health survey of year 1 children</w:t>
      </w:r>
      <w:bookmarkEnd w:id="24"/>
      <w:r w:rsidRPr="00F67E29">
        <w:rPr>
          <w:rFonts w:ascii="Verdana" w:hAnsi="Verdana"/>
          <w:color w:val="auto"/>
          <w:sz w:val="22"/>
          <w:szCs w:val="22"/>
        </w:rPr>
        <w:t>. The survey protocol was reviewed and improved</w:t>
      </w:r>
      <w:bookmarkStart w:id="25" w:name="_Hlk134006995"/>
      <w:r w:rsidRPr="00F67E29">
        <w:rPr>
          <w:rFonts w:ascii="Verdana" w:hAnsi="Verdana"/>
          <w:color w:val="auto"/>
          <w:sz w:val="22"/>
          <w:szCs w:val="22"/>
        </w:rPr>
        <w:t xml:space="preserve">. Training and Calibration (T&amp;C) event </w:t>
      </w:r>
      <w:bookmarkEnd w:id="25"/>
      <w:r w:rsidRPr="00F67E29">
        <w:rPr>
          <w:rFonts w:ascii="Verdana" w:hAnsi="Verdana"/>
          <w:color w:val="auto"/>
          <w:sz w:val="22"/>
          <w:szCs w:val="22"/>
        </w:rPr>
        <w:t>for the dental epidemiology field teams was held on 5-7th of October</w:t>
      </w:r>
      <w:r>
        <w:rPr>
          <w:rFonts w:ascii="Verdana" w:hAnsi="Verdana"/>
          <w:color w:val="auto"/>
          <w:sz w:val="22"/>
          <w:szCs w:val="22"/>
        </w:rPr>
        <w:t xml:space="preserve"> 2022</w:t>
      </w:r>
      <w:r w:rsidRPr="00F67E29">
        <w:rPr>
          <w:rFonts w:ascii="Verdana" w:hAnsi="Verdana"/>
          <w:color w:val="auto"/>
          <w:sz w:val="22"/>
          <w:szCs w:val="22"/>
        </w:rPr>
        <w:t xml:space="preserve"> in Gwent. Dental examination and data collection from Year 1 children is almost complete. We plan to carry out analyses and publish a survey report in Q4 2023/24. </w:t>
      </w:r>
    </w:p>
    <w:p w:rsidR="00E47569" w:rsidRDefault="00E47569" w:rsidP="00E47569">
      <w:pPr>
        <w:pStyle w:val="Body"/>
        <w:jc w:val="both"/>
        <w:rPr>
          <w:rFonts w:ascii="Verdana" w:hAnsi="Verdana"/>
          <w:color w:val="auto"/>
          <w:sz w:val="22"/>
          <w:szCs w:val="22"/>
        </w:rPr>
      </w:pPr>
      <w:r w:rsidRPr="00F67E29">
        <w:rPr>
          <w:rFonts w:ascii="Verdana" w:hAnsi="Verdana"/>
          <w:color w:val="auto"/>
          <w:sz w:val="22"/>
          <w:szCs w:val="22"/>
        </w:rPr>
        <w:t xml:space="preserve">During the second half of the 2022/23, we also started planning for the dental health survey of Year 7 children in Wales. Training and Calibration event for the dental epidemiology field teams will be held on 27-29th of September in North Wales. </w:t>
      </w:r>
    </w:p>
    <w:p w:rsidR="00175A1C" w:rsidRPr="00F67E29" w:rsidRDefault="00175A1C" w:rsidP="00E47569">
      <w:pPr>
        <w:pStyle w:val="Body"/>
        <w:jc w:val="both"/>
        <w:rPr>
          <w:rFonts w:ascii="Verdana" w:hAnsi="Verdana"/>
          <w:color w:val="auto"/>
          <w:sz w:val="22"/>
          <w:szCs w:val="22"/>
        </w:rPr>
      </w:pPr>
    </w:p>
    <w:p w:rsidR="00E47569" w:rsidRPr="00175A1C" w:rsidRDefault="00E47569" w:rsidP="00E47569">
      <w:pPr>
        <w:pStyle w:val="Heading2"/>
        <w:rPr>
          <w:rFonts w:cs="Arial"/>
          <w:color w:val="auto"/>
          <w:sz w:val="28"/>
          <w:szCs w:val="28"/>
        </w:rPr>
      </w:pPr>
      <w:bookmarkStart w:id="26" w:name="_Toc133226257"/>
      <w:r w:rsidRPr="00175A1C">
        <w:rPr>
          <w:rFonts w:cs="Arial"/>
          <w:color w:val="auto"/>
          <w:sz w:val="28"/>
          <w:szCs w:val="28"/>
        </w:rPr>
        <w:t>General Dental Service (GDS) Reform Programme</w:t>
      </w:r>
      <w:bookmarkEnd w:id="26"/>
    </w:p>
    <w:p w:rsidR="00E47569" w:rsidRPr="001C77B8" w:rsidRDefault="00E47569" w:rsidP="00E47569">
      <w:pPr>
        <w:pStyle w:val="Body"/>
        <w:jc w:val="both"/>
        <w:rPr>
          <w:rFonts w:ascii="Verdana" w:hAnsi="Verdana"/>
          <w:color w:val="auto"/>
          <w:sz w:val="22"/>
          <w:szCs w:val="22"/>
        </w:rPr>
      </w:pPr>
      <w:r w:rsidRPr="001C77B8">
        <w:rPr>
          <w:rFonts w:ascii="Verdana" w:hAnsi="Verdana"/>
          <w:color w:val="auto"/>
          <w:sz w:val="22"/>
          <w:szCs w:val="22"/>
        </w:rPr>
        <w:t xml:space="preserve">The GDS reform programme was hosted by Public Health Wales prior to the COVID19 pandemic with an increasing number of dental practices applying to join the programme every year since the programme started in September 2017. The programme had several objectives including re-orientation of the General Dental Services so that offer of the dental care was based on ‘need and </w:t>
      </w:r>
      <w:bookmarkStart w:id="27" w:name="_Int_60DVkrKg"/>
      <w:r w:rsidRPr="001C77B8">
        <w:rPr>
          <w:rFonts w:ascii="Verdana" w:hAnsi="Verdana"/>
          <w:color w:val="auto"/>
          <w:sz w:val="22"/>
          <w:szCs w:val="22"/>
        </w:rPr>
        <w:t>risks’</w:t>
      </w:r>
      <w:bookmarkEnd w:id="27"/>
      <w:r w:rsidRPr="001C77B8">
        <w:rPr>
          <w:rFonts w:ascii="Verdana" w:hAnsi="Verdana"/>
          <w:color w:val="auto"/>
          <w:sz w:val="22"/>
          <w:szCs w:val="22"/>
        </w:rPr>
        <w:t xml:space="preserve"> and delivery of care was prevention and outcome focussed with broader aim of reducing inequity in dental service use. The programme was paused during the pandemic and restarted on 1</w:t>
      </w:r>
      <w:r w:rsidRPr="00F67E29">
        <w:rPr>
          <w:rFonts w:ascii="Verdana" w:hAnsi="Verdana"/>
          <w:color w:val="auto"/>
          <w:sz w:val="22"/>
          <w:szCs w:val="22"/>
        </w:rPr>
        <w:t>st</w:t>
      </w:r>
      <w:r w:rsidRPr="001C77B8">
        <w:rPr>
          <w:rFonts w:ascii="Verdana" w:hAnsi="Verdana"/>
          <w:color w:val="auto"/>
          <w:sz w:val="22"/>
          <w:szCs w:val="22"/>
        </w:rPr>
        <w:t xml:space="preserve"> of April 2022 as agreed with the Welsh Government. Working with the Welsh Government, we transferred the hosting and governance of the reform programme to the Welsh Government with development of new programme structure and workstreams.</w:t>
      </w:r>
    </w:p>
    <w:p w:rsidR="00E47569" w:rsidRPr="00F67E29" w:rsidRDefault="00E47569" w:rsidP="00E47569">
      <w:pPr>
        <w:pStyle w:val="Body"/>
        <w:jc w:val="both"/>
        <w:rPr>
          <w:rFonts w:ascii="Verdana" w:hAnsi="Verdana"/>
          <w:color w:val="auto"/>
          <w:sz w:val="22"/>
          <w:szCs w:val="22"/>
        </w:rPr>
      </w:pPr>
      <w:bookmarkStart w:id="28" w:name="_Hlk134007178"/>
      <w:r w:rsidRPr="00F67E29">
        <w:rPr>
          <w:rFonts w:ascii="Verdana" w:hAnsi="Verdana"/>
          <w:color w:val="auto"/>
          <w:sz w:val="22"/>
          <w:szCs w:val="22"/>
        </w:rPr>
        <w:t xml:space="preserve">Dental public health team provided its expertise to </w:t>
      </w:r>
      <w:bookmarkEnd w:id="28"/>
      <w:r w:rsidRPr="00F67E29">
        <w:rPr>
          <w:rFonts w:ascii="Verdana" w:hAnsi="Verdana"/>
          <w:color w:val="auto"/>
          <w:sz w:val="22"/>
          <w:szCs w:val="22"/>
        </w:rPr>
        <w:t xml:space="preserve">the GDS Reform Programme during 2022/23. We provided dental public health input through the overarching Dental Strategic Oversight Group, chaired two out of the three workstreams, programme co-ordination group and provided dental public health input into the remaining workstream and other work associated with the dental reform. We organised several workshops and engagement events providing platforms for all stakeholders to communicate, provide feedback and share each other's perspective and ideas. We provided programme management support to the whole of the programme throughout the year. </w:t>
      </w:r>
    </w:p>
    <w:p w:rsidR="00E47569" w:rsidRDefault="00E47569" w:rsidP="00E47569">
      <w:pPr>
        <w:spacing w:line="257" w:lineRule="auto"/>
        <w:rPr>
          <w:rFonts w:ascii="Verdana" w:hAnsi="Verdana"/>
          <w:sz w:val="22"/>
          <w:szCs w:val="22"/>
        </w:rPr>
      </w:pPr>
    </w:p>
    <w:p w:rsidR="00E47569" w:rsidRDefault="00E47569" w:rsidP="00E47569">
      <w:pPr>
        <w:spacing w:line="257" w:lineRule="auto"/>
        <w:rPr>
          <w:rStyle w:val="Hyperlink"/>
          <w:rFonts w:ascii="Verdana" w:eastAsia="Calibri" w:hAnsi="Verdana" w:cs="Calibri"/>
          <w:sz w:val="22"/>
          <w:szCs w:val="22"/>
        </w:rPr>
      </w:pPr>
      <w:r w:rsidRPr="00547172">
        <w:rPr>
          <w:rFonts w:ascii="Verdana" w:hAnsi="Verdana"/>
          <w:sz w:val="22"/>
          <w:szCs w:val="22"/>
        </w:rPr>
        <w:t>Details of the GDS Reform Programme can be found</w:t>
      </w:r>
      <w:r w:rsidRPr="00F4611A">
        <w:rPr>
          <w:rFonts w:ascii="Verdana" w:hAnsi="Verdana"/>
          <w:sz w:val="22"/>
          <w:szCs w:val="22"/>
        </w:rPr>
        <w:t xml:space="preserve"> at: </w:t>
      </w:r>
      <w:hyperlink r:id="rId89" w:history="1">
        <w:r w:rsidR="00AA1D04" w:rsidRPr="00221142">
          <w:rPr>
            <w:rStyle w:val="Hyperlink"/>
            <w:rFonts w:ascii="Verdana" w:eastAsia="Calibri" w:hAnsi="Verdana" w:cs="Calibri"/>
            <w:sz w:val="22"/>
            <w:szCs w:val="22"/>
          </w:rPr>
          <w:t>https://primarycareone.nhs.wales/topics1/dental-public-health/general-dental-services-gds-reform-programme-for-wales/</w:t>
        </w:r>
      </w:hyperlink>
    </w:p>
    <w:p w:rsidR="006044A4" w:rsidRPr="00547172" w:rsidRDefault="006044A4" w:rsidP="00E47569">
      <w:pPr>
        <w:spacing w:line="257" w:lineRule="auto"/>
        <w:rPr>
          <w:rStyle w:val="Hyperlink"/>
          <w:rFonts w:ascii="Verdana" w:eastAsia="Calibri" w:hAnsi="Verdana" w:cs="Calibri"/>
          <w:sz w:val="22"/>
          <w:szCs w:val="22"/>
        </w:rPr>
      </w:pPr>
    </w:p>
    <w:p w:rsidR="00E47569" w:rsidRDefault="00E47569" w:rsidP="00E47569">
      <w:pPr>
        <w:rPr>
          <w:rFonts w:ascii="Verdana" w:hAnsi="Verdana" w:cs="Arial"/>
          <w:color w:val="000000"/>
          <w:sz w:val="22"/>
          <w:szCs w:val="22"/>
        </w:rPr>
      </w:pPr>
    </w:p>
    <w:p w:rsidR="00E47569" w:rsidRPr="00175A1C" w:rsidRDefault="00E47569" w:rsidP="00E47569">
      <w:pPr>
        <w:pStyle w:val="Heading2"/>
        <w:rPr>
          <w:rFonts w:cs="Arial"/>
          <w:color w:val="auto"/>
          <w:sz w:val="28"/>
          <w:szCs w:val="28"/>
        </w:rPr>
      </w:pPr>
      <w:bookmarkStart w:id="29" w:name="_Toc133226258"/>
      <w:r w:rsidRPr="00175A1C">
        <w:rPr>
          <w:rFonts w:cs="Arial"/>
          <w:color w:val="auto"/>
          <w:sz w:val="28"/>
          <w:szCs w:val="28"/>
        </w:rPr>
        <w:t>Dental Public Health Advice and Support</w:t>
      </w:r>
      <w:bookmarkEnd w:id="29"/>
    </w:p>
    <w:p w:rsidR="00E47569" w:rsidRPr="00F67E29" w:rsidRDefault="00E47569" w:rsidP="00E47569">
      <w:pPr>
        <w:pStyle w:val="Body"/>
        <w:jc w:val="both"/>
        <w:rPr>
          <w:rFonts w:ascii="Verdana" w:hAnsi="Verdana"/>
          <w:color w:val="auto"/>
          <w:sz w:val="22"/>
          <w:szCs w:val="22"/>
        </w:rPr>
      </w:pPr>
      <w:r w:rsidRPr="00F67E29">
        <w:rPr>
          <w:rFonts w:ascii="Verdana" w:hAnsi="Verdana"/>
          <w:color w:val="auto"/>
          <w:sz w:val="22"/>
          <w:szCs w:val="22"/>
        </w:rPr>
        <w:t>Dental Public Health team also provided independent advice and support to several external stakeholders especially Welsh Government</w:t>
      </w:r>
      <w:r>
        <w:rPr>
          <w:rFonts w:ascii="Verdana" w:hAnsi="Verdana"/>
          <w:color w:val="auto"/>
          <w:sz w:val="22"/>
          <w:szCs w:val="22"/>
        </w:rPr>
        <w:t>, H</w:t>
      </w:r>
      <w:r w:rsidRPr="00F67E29">
        <w:rPr>
          <w:rFonts w:ascii="Verdana" w:hAnsi="Verdana"/>
          <w:color w:val="auto"/>
          <w:sz w:val="22"/>
          <w:szCs w:val="22"/>
        </w:rPr>
        <w:t xml:space="preserve">ealth </w:t>
      </w:r>
      <w:r>
        <w:rPr>
          <w:rFonts w:ascii="Verdana" w:hAnsi="Verdana"/>
          <w:color w:val="auto"/>
          <w:sz w:val="22"/>
          <w:szCs w:val="22"/>
        </w:rPr>
        <w:t>B</w:t>
      </w:r>
      <w:r w:rsidRPr="00F67E29">
        <w:rPr>
          <w:rFonts w:ascii="Verdana" w:hAnsi="Verdana"/>
          <w:color w:val="auto"/>
          <w:sz w:val="22"/>
          <w:szCs w:val="22"/>
        </w:rPr>
        <w:t xml:space="preserve">oards, Health Education and Improvement Wales (HEIW), NHS Business Services Authority, Welsh Dental Committee, Strategic Advisory Forums for dental specialities and others. </w:t>
      </w:r>
    </w:p>
    <w:p w:rsidR="00E47569" w:rsidRDefault="00E47569" w:rsidP="00E47569">
      <w:pPr>
        <w:pStyle w:val="Body"/>
        <w:jc w:val="both"/>
        <w:rPr>
          <w:rFonts w:ascii="Verdana" w:hAnsi="Verdana"/>
          <w:color w:val="auto"/>
          <w:sz w:val="22"/>
          <w:szCs w:val="22"/>
        </w:rPr>
      </w:pPr>
      <w:r w:rsidRPr="00F67E29">
        <w:rPr>
          <w:rFonts w:ascii="Verdana" w:hAnsi="Verdana"/>
          <w:color w:val="auto"/>
          <w:sz w:val="22"/>
          <w:szCs w:val="22"/>
        </w:rPr>
        <w:t xml:space="preserve">We reviewed, improved and co-ordinated once for Wales annual Quality Assurance self-assessment process. 99.7% of NHS dental practices in Wales participated and submitted their self-assessments to their Health Boards.  </w:t>
      </w:r>
      <w:bookmarkStart w:id="30" w:name="_Hlk134007227"/>
      <w:r w:rsidRPr="00F67E29">
        <w:rPr>
          <w:rFonts w:ascii="Verdana" w:hAnsi="Verdana"/>
          <w:color w:val="auto"/>
          <w:sz w:val="22"/>
          <w:szCs w:val="22"/>
        </w:rPr>
        <w:t xml:space="preserve">We also hosted bi-annual GDS Quality and Safety Forum which brought together all stakeholders to discuss various aspects of quality and safety in dentistry and share learning. </w:t>
      </w:r>
    </w:p>
    <w:bookmarkEnd w:id="30"/>
    <w:p w:rsidR="00175A1C" w:rsidRDefault="00175A1C" w:rsidP="00E47569">
      <w:pPr>
        <w:pStyle w:val="Body"/>
        <w:jc w:val="both"/>
        <w:rPr>
          <w:rFonts w:ascii="Verdana" w:hAnsi="Verdana"/>
          <w:color w:val="auto"/>
          <w:sz w:val="22"/>
          <w:szCs w:val="22"/>
        </w:rPr>
      </w:pPr>
    </w:p>
    <w:p w:rsidR="00175A1C" w:rsidRDefault="00175A1C" w:rsidP="00175A1C">
      <w:pPr>
        <w:jc w:val="center"/>
      </w:pPr>
      <w:r>
        <w:rPr>
          <w:rFonts w:ascii="Verdana" w:hAnsi="Verdana"/>
          <w:b/>
          <w:bCs/>
          <w:sz w:val="22"/>
          <w:szCs w:val="22"/>
        </w:rPr>
        <w:t xml:space="preserve">Further information on the work of the Primary Care Hub and the wider Primary Care Division can be seen on </w:t>
      </w:r>
      <w:hyperlink r:id="rId90" w:history="1">
        <w:r>
          <w:rPr>
            <w:rStyle w:val="Hyperlink"/>
            <w:rFonts w:ascii="Verdana" w:hAnsi="Verdana"/>
            <w:b/>
            <w:bCs/>
            <w:sz w:val="22"/>
            <w:szCs w:val="22"/>
          </w:rPr>
          <w:t>PCONE</w:t>
        </w:r>
      </w:hyperlink>
      <w:r w:rsidR="00AE1855">
        <w:rPr>
          <w:rStyle w:val="Hyperlink"/>
          <w:rFonts w:ascii="Verdana" w:hAnsi="Verdana"/>
          <w:b/>
          <w:bCs/>
          <w:sz w:val="22"/>
          <w:szCs w:val="22"/>
        </w:rPr>
        <w:t xml:space="preserve">, </w:t>
      </w:r>
      <w:r>
        <w:rPr>
          <w:rFonts w:ascii="Verdana" w:hAnsi="Verdana"/>
          <w:b/>
          <w:bCs/>
          <w:sz w:val="22"/>
          <w:szCs w:val="22"/>
        </w:rPr>
        <w:t xml:space="preserve">on the </w:t>
      </w:r>
      <w:hyperlink r:id="rId91" w:history="1">
        <w:r>
          <w:rPr>
            <w:rStyle w:val="Hyperlink"/>
            <w:rFonts w:ascii="Verdana" w:hAnsi="Verdana"/>
            <w:b/>
            <w:bCs/>
            <w:sz w:val="22"/>
            <w:szCs w:val="22"/>
          </w:rPr>
          <w:t>Primary Care Division</w:t>
        </w:r>
      </w:hyperlink>
      <w:r>
        <w:rPr>
          <w:rFonts w:ascii="Verdana" w:hAnsi="Verdana"/>
          <w:b/>
          <w:bCs/>
          <w:sz w:val="22"/>
          <w:szCs w:val="22"/>
        </w:rPr>
        <w:t xml:space="preserve"> </w:t>
      </w:r>
      <w:r w:rsidR="00AE1855">
        <w:rPr>
          <w:rFonts w:ascii="Verdana" w:hAnsi="Verdana"/>
          <w:b/>
          <w:bCs/>
          <w:sz w:val="22"/>
          <w:szCs w:val="22"/>
        </w:rPr>
        <w:t xml:space="preserve">and </w:t>
      </w:r>
      <w:hyperlink r:id="rId92" w:history="1">
        <w:r w:rsidR="00AE1855" w:rsidRPr="00AE1855">
          <w:rPr>
            <w:rStyle w:val="Hyperlink"/>
            <w:rFonts w:ascii="Verdana" w:hAnsi="Verdana"/>
            <w:b/>
            <w:bCs/>
            <w:sz w:val="22"/>
            <w:szCs w:val="22"/>
          </w:rPr>
          <w:t>Dental Public Health</w:t>
        </w:r>
      </w:hyperlink>
      <w:r w:rsidR="00AE1855">
        <w:rPr>
          <w:rFonts w:ascii="Verdana" w:hAnsi="Verdana"/>
          <w:b/>
          <w:bCs/>
          <w:sz w:val="22"/>
          <w:szCs w:val="22"/>
        </w:rPr>
        <w:t xml:space="preserve"> </w:t>
      </w:r>
      <w:r>
        <w:rPr>
          <w:rFonts w:ascii="Verdana" w:hAnsi="Verdana"/>
          <w:b/>
          <w:bCs/>
          <w:sz w:val="22"/>
          <w:szCs w:val="22"/>
        </w:rPr>
        <w:t>page of the PHW website.</w:t>
      </w:r>
    </w:p>
    <w:p w:rsidR="00C43173" w:rsidRDefault="00C43173"/>
    <w:p w:rsidR="007673C5" w:rsidRDefault="007673C5"/>
    <w:sectPr w:rsidR="007673C5" w:rsidSect="00175A1C">
      <w:pgSz w:w="11906" w:h="16838"/>
      <w:pgMar w:top="720" w:right="720" w:bottom="720" w:left="72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930" w:rsidRDefault="00166930" w:rsidP="003551F5">
      <w:r>
        <w:separator/>
      </w:r>
    </w:p>
  </w:endnote>
  <w:endnote w:type="continuationSeparator" w:id="0">
    <w:p w:rsidR="00166930" w:rsidRDefault="00166930" w:rsidP="003551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buntu">
    <w:altName w:val="Arial"/>
    <w:charset w:val="00"/>
    <w:family w:val="swiss"/>
    <w:pitch w:val="variable"/>
    <w:sig w:usb0="00000001" w:usb1="5000205B" w:usb2="00000000" w:usb3="00000000" w:csb0="0000009F" w:csb1="00000000"/>
  </w:font>
  <w:font w:name="Verdana">
    <w:panose1 w:val="020B0604030504040204"/>
    <w:charset w:val="00"/>
    <w:family w:val="swiss"/>
    <w:pitch w:val="variable"/>
    <w:sig w:usb0="A00006FF" w:usb1="4000205B" w:usb2="00000010" w:usb3="00000000" w:csb0="0000019F" w:csb1="00000000"/>
  </w:font>
  <w:font w:name="MinionPro-Regular">
    <w:altName w:val="Calibri"/>
    <w:charset w:val="4D"/>
    <w:family w:val="auto"/>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Body CS)">
    <w:altName w:val="Times New Roman"/>
    <w:panose1 w:val="00000000000000000000"/>
    <w:charset w:val="00"/>
    <w:family w:val="roman"/>
    <w:notTrueType/>
    <w:pitch w:val="default"/>
  </w:font>
  <w:font w:name="CIDFont+F2">
    <w:altName w:val="Calibri"/>
    <w:panose1 w:val="00000000000000000000"/>
    <w:charset w:val="00"/>
    <w:family w:val="auto"/>
    <w:notTrueType/>
    <w:pitch w:val="default"/>
    <w:sig w:usb0="00000003" w:usb1="00000000" w:usb2="00000000" w:usb3="00000000" w:csb0="00000001" w:csb1="00000000"/>
  </w:font>
  <w:font w:name="SegoeUI">
    <w:altName w:val="Segoe U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6218712"/>
      <w:docPartObj>
        <w:docPartGallery w:val="Page Numbers (Bottom of Page)"/>
        <w:docPartUnique/>
      </w:docPartObj>
    </w:sdtPr>
    <w:sdtEndPr>
      <w:rPr>
        <w:noProof/>
      </w:rPr>
    </w:sdtEndPr>
    <w:sdtContent>
      <w:p w:rsidR="00C43173" w:rsidRDefault="004A54EB" w:rsidP="00F7522E">
        <w:pPr>
          <w:pStyle w:val="Footer"/>
        </w:pPr>
        <w:r>
          <w:t>Version 1.0</w:t>
        </w:r>
        <w:r w:rsidR="00C43173">
          <w:t xml:space="preserve">                                          </w:t>
        </w:r>
        <w:r w:rsidR="00C43173">
          <w:tab/>
        </w:r>
        <w:r w:rsidR="00C43173" w:rsidRPr="002F3242">
          <w:rPr>
            <w:rFonts w:ascii="Verdana" w:hAnsi="Verdana"/>
            <w:sz w:val="16"/>
            <w:szCs w:val="16"/>
          </w:rPr>
          <w:t xml:space="preserve">Page </w:t>
        </w:r>
        <w:r w:rsidR="00C43173" w:rsidRPr="002F3242">
          <w:rPr>
            <w:rFonts w:ascii="Verdana" w:hAnsi="Verdana"/>
            <w:sz w:val="16"/>
            <w:szCs w:val="16"/>
          </w:rPr>
          <w:fldChar w:fldCharType="begin"/>
        </w:r>
        <w:r w:rsidR="00C43173" w:rsidRPr="002F3242">
          <w:rPr>
            <w:rFonts w:ascii="Verdana" w:hAnsi="Verdana"/>
            <w:sz w:val="16"/>
            <w:szCs w:val="16"/>
          </w:rPr>
          <w:instrText xml:space="preserve"> PAGE   \* MERGEFORMAT </w:instrText>
        </w:r>
        <w:r w:rsidR="00C43173" w:rsidRPr="002F3242">
          <w:rPr>
            <w:rFonts w:ascii="Verdana" w:hAnsi="Verdana"/>
            <w:sz w:val="16"/>
            <w:szCs w:val="16"/>
          </w:rPr>
          <w:fldChar w:fldCharType="separate"/>
        </w:r>
        <w:r>
          <w:rPr>
            <w:rFonts w:ascii="Verdana" w:hAnsi="Verdana"/>
            <w:noProof/>
            <w:sz w:val="16"/>
            <w:szCs w:val="16"/>
          </w:rPr>
          <w:t>12</w:t>
        </w:r>
        <w:r w:rsidR="00C43173" w:rsidRPr="002F3242">
          <w:rPr>
            <w:rFonts w:ascii="Verdana" w:hAnsi="Verdana"/>
            <w:noProof/>
            <w:sz w:val="16"/>
            <w:szCs w:val="16"/>
          </w:rPr>
          <w:fldChar w:fldCharType="end"/>
        </w:r>
        <w:r w:rsidR="00C43173" w:rsidRPr="002F3242">
          <w:rPr>
            <w:rFonts w:ascii="Verdana" w:hAnsi="Verdana"/>
            <w:noProof/>
            <w:sz w:val="16"/>
            <w:szCs w:val="16"/>
          </w:rPr>
          <w:t xml:space="preserve"> of </w:t>
        </w:r>
        <w:r w:rsidR="00C43173" w:rsidRPr="002F3242">
          <w:rPr>
            <w:rFonts w:ascii="Verdana" w:hAnsi="Verdana"/>
            <w:noProof/>
            <w:sz w:val="16"/>
            <w:szCs w:val="16"/>
          </w:rPr>
          <w:fldChar w:fldCharType="begin"/>
        </w:r>
        <w:r w:rsidR="00C43173" w:rsidRPr="002F3242">
          <w:rPr>
            <w:rFonts w:ascii="Verdana" w:hAnsi="Verdana"/>
            <w:noProof/>
            <w:sz w:val="16"/>
            <w:szCs w:val="16"/>
          </w:rPr>
          <w:instrText xml:space="preserve"> NUMPAGES   \* MERGEFORMAT </w:instrText>
        </w:r>
        <w:r w:rsidR="00C43173" w:rsidRPr="002F3242">
          <w:rPr>
            <w:rFonts w:ascii="Verdana" w:hAnsi="Verdana"/>
            <w:noProof/>
            <w:sz w:val="16"/>
            <w:szCs w:val="16"/>
          </w:rPr>
          <w:fldChar w:fldCharType="separate"/>
        </w:r>
        <w:r>
          <w:rPr>
            <w:rFonts w:ascii="Verdana" w:hAnsi="Verdana"/>
            <w:noProof/>
            <w:sz w:val="16"/>
            <w:szCs w:val="16"/>
          </w:rPr>
          <w:t>12</w:t>
        </w:r>
        <w:r w:rsidR="00C43173" w:rsidRPr="002F3242">
          <w:rPr>
            <w:rFonts w:ascii="Verdana" w:hAnsi="Verdana"/>
            <w:noProof/>
            <w:sz w:val="16"/>
            <w:szCs w:val="16"/>
          </w:rPr>
          <w:fldChar w:fldCharType="end"/>
        </w:r>
      </w:p>
    </w:sdtContent>
  </w:sdt>
  <w:p w:rsidR="00C43173" w:rsidRDefault="00C43173" w:rsidP="009A152E">
    <w:pPr>
      <w:pStyle w:val="Footer"/>
      <w:ind w:left="-113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930" w:rsidRDefault="00166930" w:rsidP="003551F5">
      <w:r>
        <w:separator/>
      </w:r>
    </w:p>
  </w:footnote>
  <w:footnote w:type="continuationSeparator" w:id="0">
    <w:p w:rsidR="00166930" w:rsidRDefault="00166930" w:rsidP="003551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3173" w:rsidRDefault="00C43173" w:rsidP="00E96446">
    <w:pPr>
      <w:ind w:left="-1440"/>
    </w:pPr>
    <w:r>
      <w:rPr>
        <w:noProof/>
        <w:lang w:eastAsia="en-GB"/>
      </w:rPr>
      <w:drawing>
        <wp:anchor distT="0" distB="0" distL="114300" distR="114300" simplePos="0" relativeHeight="251657727" behindDoc="0" locked="0" layoutInCell="1" allowOverlap="1" wp14:anchorId="694F8238" wp14:editId="2A439BC6">
          <wp:simplePos x="0" y="0"/>
          <wp:positionH relativeFrom="page">
            <wp:posOffset>368300</wp:posOffset>
          </wp:positionH>
          <wp:positionV relativeFrom="paragraph">
            <wp:posOffset>0</wp:posOffset>
          </wp:positionV>
          <wp:extent cx="9900000" cy="1087489"/>
          <wp:effectExtent l="0" t="0" r="6350" b="0"/>
          <wp:wrapTopAndBottom/>
          <wp:docPr id="32" name="Picture 32" descr="Background patter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Background pattern&#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9900000" cy="1087489"/>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mc:AlternateContent>
        <mc:Choice Requires="wps">
          <w:drawing>
            <wp:anchor distT="0" distB="0" distL="114300" distR="114300" simplePos="0" relativeHeight="251656192" behindDoc="0" locked="0" layoutInCell="1" allowOverlap="1" wp14:anchorId="7EBBD750" wp14:editId="074016D8">
              <wp:simplePos x="0" y="0"/>
              <wp:positionH relativeFrom="column">
                <wp:posOffset>-205587</wp:posOffset>
              </wp:positionH>
              <wp:positionV relativeFrom="paragraph">
                <wp:posOffset>281305</wp:posOffset>
              </wp:positionV>
              <wp:extent cx="1111348" cy="787400"/>
              <wp:effectExtent l="0" t="0" r="0" b="0"/>
              <wp:wrapNone/>
              <wp:docPr id="5" name="Text Box 5"/>
              <wp:cNvGraphicFramePr/>
              <a:graphic xmlns:a="http://schemas.openxmlformats.org/drawingml/2006/main">
                <a:graphicData uri="http://schemas.microsoft.com/office/word/2010/wordprocessingShape">
                  <wps:wsp>
                    <wps:cNvSpPr txBox="1"/>
                    <wps:spPr>
                      <a:xfrm>
                        <a:off x="0" y="0"/>
                        <a:ext cx="1111348" cy="787400"/>
                      </a:xfrm>
                      <a:prstGeom prst="rect">
                        <a:avLst/>
                      </a:prstGeom>
                      <a:noFill/>
                      <a:ln w="6350">
                        <a:noFill/>
                      </a:ln>
                    </wps:spPr>
                    <wps:txbx>
                      <w:txbxContent>
                        <w:p w:rsidR="00C43173" w:rsidRDefault="00C43173" w:rsidP="00886C85">
                          <w:pPr>
                            <w:jc w:val="center"/>
                            <w:rPr>
                              <w:rFonts w:ascii="Ubuntu" w:hAnsi="Ubuntu" w:cs="Times New Roman"/>
                              <w:color w:val="FFFFFF" w:themeColor="background1"/>
                            </w:rPr>
                          </w:pPr>
                          <w:r>
                            <w:rPr>
                              <w:rFonts w:ascii="Ubuntu" w:hAnsi="Ubuntu" w:cs="Times New Roman"/>
                              <w:color w:val="FFFFFF" w:themeColor="background1"/>
                            </w:rPr>
                            <w:t xml:space="preserve">        </w:t>
                          </w:r>
                        </w:p>
                        <w:p w:rsidR="00C43173" w:rsidRPr="00DC17B0" w:rsidRDefault="00C43173" w:rsidP="00886C85">
                          <w:pPr>
                            <w:jc w:val="center"/>
                            <w:rPr>
                              <w:rFonts w:ascii="Verdana" w:hAnsi="Verdana" w:cs="Times New Roman"/>
                              <w:color w:val="FFFFFF" w:themeColor="background1"/>
                            </w:rPr>
                          </w:pPr>
                          <w:r>
                            <w:rPr>
                              <w:rFonts w:ascii="Ubuntu" w:hAnsi="Ubuntu" w:cs="Times New Roman"/>
                              <w:color w:val="FFFFFF" w:themeColor="background1"/>
                            </w:rPr>
                            <w:t xml:space="preserve"> </w:t>
                          </w:r>
                          <w:r w:rsidRPr="00DC17B0">
                            <w:rPr>
                              <w:rFonts w:ascii="Verdana" w:hAnsi="Verdana" w:cs="Times New Roman"/>
                              <w:color w:val="FFFFFF" w:themeColor="background1"/>
                            </w:rPr>
                            <w:t xml:space="preserve">Page </w:t>
                          </w:r>
                          <w:r w:rsidRPr="00DC17B0">
                            <w:rPr>
                              <w:rFonts w:ascii="Verdana" w:hAnsi="Verdana" w:cs="Times New Roman"/>
                              <w:color w:val="FFFFFF" w:themeColor="background1"/>
                            </w:rPr>
                            <w:fldChar w:fldCharType="begin"/>
                          </w:r>
                          <w:r w:rsidRPr="00DC17B0">
                            <w:rPr>
                              <w:rFonts w:ascii="Verdana" w:hAnsi="Verdana" w:cs="Times New Roman"/>
                              <w:color w:val="FFFFFF" w:themeColor="background1"/>
                            </w:rPr>
                            <w:instrText xml:space="preserve"> PAGE   \* MERGEFORMAT </w:instrText>
                          </w:r>
                          <w:r w:rsidRPr="00DC17B0">
                            <w:rPr>
                              <w:rFonts w:ascii="Verdana" w:hAnsi="Verdana" w:cs="Times New Roman"/>
                              <w:color w:val="FFFFFF" w:themeColor="background1"/>
                            </w:rPr>
                            <w:fldChar w:fldCharType="separate"/>
                          </w:r>
                          <w:r w:rsidR="004A54EB">
                            <w:rPr>
                              <w:rFonts w:ascii="Verdana" w:hAnsi="Verdana" w:cs="Times New Roman"/>
                              <w:noProof/>
                              <w:color w:val="FFFFFF" w:themeColor="background1"/>
                            </w:rPr>
                            <w:t>12</w:t>
                          </w:r>
                          <w:r w:rsidRPr="00DC17B0">
                            <w:rPr>
                              <w:rFonts w:ascii="Verdana" w:hAnsi="Verdana" w:cs="Times New Roman"/>
                              <w:noProof/>
                              <w:color w:val="FFFFFF" w:themeColor="background1"/>
                            </w:rPr>
                            <w:fldChar w:fldCharType="end"/>
                          </w:r>
                        </w:p>
                        <w:p w:rsidR="00C43173" w:rsidRPr="00E87009" w:rsidRDefault="00C43173" w:rsidP="00886C85">
                          <w:pPr>
                            <w:jc w:val="center"/>
                            <w:rPr>
                              <w:rFonts w:ascii="Ubuntu" w:hAnsi="Ubuntu"/>
                              <w:color w:val="FFFFFF" w:themeColor="background1"/>
                            </w:rPr>
                          </w:pP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BBD750" id="_x0000_t202" coordsize="21600,21600" o:spt="202" path="m,l,21600r21600,l21600,xe">
              <v:stroke joinstyle="miter"/>
              <v:path gradientshapeok="t" o:connecttype="rect"/>
            </v:shapetype>
            <v:shape id="Text Box 5" o:spid="_x0000_s1035" type="#_x0000_t202" style="position:absolute;left:0;text-align:left;margin-left:-16.2pt;margin-top:22.15pt;width:87.5pt;height:62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" filled="f" stroked="f" strokeweight=".5pt">
              <v:textbox>
                <w:txbxContent>
                  <w:p w:rsidR="00C43173" w:rsidRDefault="00C43173" w:rsidP="00886C85">
                    <w:pPr>
                      <w:jc w:val="center"/>
                      <w:rPr>
                        <w:rFonts w:ascii="Ubuntu" w:hAnsi="Ubuntu" w:cs="Times New Roman"/>
                        <w:color w:val="FFFFFF" w:themeColor="background1"/>
                      </w:rPr>
                    </w:pPr>
                    <w:r>
                      <w:rPr>
                        <w:rFonts w:ascii="Ubuntu" w:hAnsi="Ubuntu" w:cs="Times New Roman"/>
                        <w:color w:val="FFFFFF" w:themeColor="background1"/>
                      </w:rPr>
                      <w:t xml:space="preserve">        </w:t>
                    </w:r>
                  </w:p>
                  <w:p w:rsidR="00C43173" w:rsidRPr="00DC17B0" w:rsidRDefault="00C43173" w:rsidP="00886C85">
                    <w:pPr>
                      <w:jc w:val="center"/>
                      <w:rPr>
                        <w:rFonts w:ascii="Verdana" w:hAnsi="Verdana" w:cs="Times New Roman"/>
                        <w:color w:val="FFFFFF" w:themeColor="background1"/>
                      </w:rPr>
                    </w:pPr>
                    <w:r>
                      <w:rPr>
                        <w:rFonts w:ascii="Ubuntu" w:hAnsi="Ubuntu" w:cs="Times New Roman"/>
                        <w:color w:val="FFFFFF" w:themeColor="background1"/>
                      </w:rPr>
                      <w:t xml:space="preserve"> </w:t>
                    </w:r>
                    <w:r w:rsidRPr="00DC17B0">
                      <w:rPr>
                        <w:rFonts w:ascii="Verdana" w:hAnsi="Verdana" w:cs="Times New Roman"/>
                        <w:color w:val="FFFFFF" w:themeColor="background1"/>
                      </w:rPr>
                      <w:t xml:space="preserve">Page </w:t>
                    </w:r>
                    <w:r w:rsidRPr="00DC17B0">
                      <w:rPr>
                        <w:rFonts w:ascii="Verdana" w:hAnsi="Verdana" w:cs="Times New Roman"/>
                        <w:color w:val="FFFFFF" w:themeColor="background1"/>
                      </w:rPr>
                      <w:fldChar w:fldCharType="begin"/>
                    </w:r>
                    <w:r w:rsidRPr="00DC17B0">
                      <w:rPr>
                        <w:rFonts w:ascii="Verdana" w:hAnsi="Verdana" w:cs="Times New Roman"/>
                        <w:color w:val="FFFFFF" w:themeColor="background1"/>
                      </w:rPr>
                      <w:instrText xml:space="preserve"> PAGE   \* MERGEFORMAT </w:instrText>
                    </w:r>
                    <w:r w:rsidRPr="00DC17B0">
                      <w:rPr>
                        <w:rFonts w:ascii="Verdana" w:hAnsi="Verdana" w:cs="Times New Roman"/>
                        <w:color w:val="FFFFFF" w:themeColor="background1"/>
                      </w:rPr>
                      <w:fldChar w:fldCharType="separate"/>
                    </w:r>
                    <w:r w:rsidR="004A54EB">
                      <w:rPr>
                        <w:rFonts w:ascii="Verdana" w:hAnsi="Verdana" w:cs="Times New Roman"/>
                        <w:noProof/>
                        <w:color w:val="FFFFFF" w:themeColor="background1"/>
                      </w:rPr>
                      <w:t>12</w:t>
                    </w:r>
                    <w:r w:rsidRPr="00DC17B0">
                      <w:rPr>
                        <w:rFonts w:ascii="Verdana" w:hAnsi="Verdana" w:cs="Times New Roman"/>
                        <w:noProof/>
                        <w:color w:val="FFFFFF" w:themeColor="background1"/>
                      </w:rPr>
                      <w:fldChar w:fldCharType="end"/>
                    </w:r>
                  </w:p>
                  <w:p w:rsidR="00C43173" w:rsidRPr="00E87009" w:rsidRDefault="00C43173" w:rsidP="00886C85">
                    <w:pPr>
                      <w:jc w:val="center"/>
                      <w:rPr>
                        <w:rFonts w:ascii="Ubuntu" w:hAnsi="Ubuntu"/>
                        <w:color w:val="FFFFFF" w:themeColor="background1"/>
                      </w:rPr>
                    </w:pPr>
                  </w:p>
                </w:txbxContent>
              </v:textbox>
            </v:shape>
          </w:pict>
        </mc:Fallback>
      </mc:AlternateContent>
    </w:r>
    <w:r>
      <w:rPr>
        <w:noProof/>
        <w:lang w:eastAsia="en-GB"/>
      </w:rPr>
      <mc:AlternateContent>
        <mc:Choice Requires="wps">
          <w:drawing>
            <wp:anchor distT="0" distB="0" distL="114300" distR="114300" simplePos="0" relativeHeight="251658240" behindDoc="0" locked="0" layoutInCell="1" allowOverlap="1" wp14:anchorId="40B91CD5" wp14:editId="1893F258">
              <wp:simplePos x="0" y="0"/>
              <wp:positionH relativeFrom="column">
                <wp:posOffset>-4776</wp:posOffset>
              </wp:positionH>
              <wp:positionV relativeFrom="paragraph">
                <wp:posOffset>124359</wp:posOffset>
              </wp:positionV>
              <wp:extent cx="5317490" cy="309489"/>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317490" cy="309489"/>
                      </a:xfrm>
                      <a:prstGeom prst="rect">
                        <a:avLst/>
                      </a:prstGeom>
                      <a:noFill/>
                      <a:ln w="6350">
                        <a:noFill/>
                      </a:ln>
                    </wps:spPr>
                    <wps:txbx>
                      <w:txbxContent>
                        <w:p w:rsidR="00C43173" w:rsidRPr="00DC17B0" w:rsidRDefault="00C43173">
                          <w:pPr>
                            <w:rPr>
                              <w:rFonts w:ascii="Verdana" w:hAnsi="Verdana"/>
                              <w:color w:val="FFFFFF" w:themeColor="background1"/>
                            </w:rPr>
                          </w:pPr>
                          <w:r w:rsidRPr="00DC17B0">
                            <w:rPr>
                              <w:rFonts w:ascii="Verdana" w:hAnsi="Verdana"/>
                              <w:color w:val="FFFFFF" w:themeColor="background1"/>
                            </w:rPr>
                            <w:t>Prim</w:t>
                          </w:r>
                          <w:r>
                            <w:rPr>
                              <w:rFonts w:ascii="Verdana" w:hAnsi="Verdana"/>
                              <w:color w:val="FFFFFF" w:themeColor="background1"/>
                            </w:rPr>
                            <w:t>ary Care Division Work Plan 2022/2023 End of Year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B91CD5" id="Text Box 40" o:spid="_x0000_s1036" type="#_x0000_t202" style="position:absolute;left:0;text-align:left;margin-left:-.4pt;margin-top:9.8pt;width:418.7pt;height:24.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" filled="f" stroked="f" strokeweight=".5pt">
              <v:textbox>
                <w:txbxContent>
                  <w:p w:rsidR="00C43173" w:rsidRPr="00DC17B0" w:rsidRDefault="00C43173">
                    <w:pPr>
                      <w:rPr>
                        <w:rFonts w:ascii="Verdana" w:hAnsi="Verdana"/>
                        <w:color w:val="FFFFFF" w:themeColor="background1"/>
                      </w:rPr>
                    </w:pPr>
                    <w:r w:rsidRPr="00DC17B0">
                      <w:rPr>
                        <w:rFonts w:ascii="Verdana" w:hAnsi="Verdana"/>
                        <w:color w:val="FFFFFF" w:themeColor="background1"/>
                      </w:rPr>
                      <w:t>Prim</w:t>
                    </w:r>
                    <w:r>
                      <w:rPr>
                        <w:rFonts w:ascii="Verdana" w:hAnsi="Verdana"/>
                        <w:color w:val="FFFFFF" w:themeColor="background1"/>
                      </w:rPr>
                      <w:t>ary Care Division Work Plan 2022/2023 End of Year Report</w:t>
                    </w:r>
                  </w:p>
                </w:txbxContent>
              </v:textbox>
            </v:shape>
          </w:pict>
        </mc:Fallback>
      </mc:AlternateContent>
    </w:r>
    <w:r>
      <w:rPr>
        <w:noProof/>
        <w:lang w:eastAsia="en-GB"/>
      </w:rPr>
      <mc:AlternateContent>
        <mc:Choice Requires="wps">
          <w:drawing>
            <wp:anchor distT="0" distB="0" distL="114300" distR="114300" simplePos="0" relativeHeight="251657216" behindDoc="0" locked="0" layoutInCell="1" allowOverlap="1" wp14:anchorId="7EC4E112" wp14:editId="61FB7E33">
              <wp:simplePos x="0" y="0"/>
              <wp:positionH relativeFrom="column">
                <wp:posOffset>8204835</wp:posOffset>
              </wp:positionH>
              <wp:positionV relativeFrom="paragraph">
                <wp:posOffset>189865</wp:posOffset>
              </wp:positionV>
              <wp:extent cx="901700" cy="59690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901700" cy="596900"/>
                      </a:xfrm>
                      <a:prstGeom prst="rect">
                        <a:avLst/>
                      </a:prstGeom>
                      <a:noFill/>
                      <a:ln w="6350">
                        <a:noFill/>
                      </a:ln>
                    </wps:spPr>
                    <wps:txbx>
                      <w:txbxContent>
                        <w:p w:rsidR="00C43173" w:rsidRPr="00E96446" w:rsidRDefault="00C43173"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 w14:anchorId="7EC4E112" id="Text Box 39" o:spid="_x0000_s1037" type="#_x0000_t202" style="position:absolute;left:0;text-align:left;margin-left:646.05pt;margin-top:14.95pt;width:71pt;height:47pt;z-index:251657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" filled="f" stroked="f" strokeweight=".5pt">
              <v:textbox>
                <w:txbxContent>
                  <w:p w:rsidR="00C43173" w:rsidRPr="00E96446" w:rsidRDefault="00C43173"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v:textbox>
            </v:shape>
          </w:pict>
        </mc:Fallback>
      </mc:AlternateContent>
    </w:r>
  </w:p>
</w:hdr>
</file>

<file path=word/intelligence2.xml><?xml version="1.0" encoding="utf-8"?>
<int2:intelligence xmlns:int2="http://schemas.microsoft.com/office/intelligence/2020/intelligence" xmlns:oel="http://schemas.microsoft.com/office/2019/extlst">
  <int2:observations>
    <int2:bookmark int2:bookmarkName="_Int_60DVkrKg" int2:invalidationBookmarkName="" int2:hashCode="q7pnA6wxtaigAi" int2:id="YRbvrTyd">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74923"/>
    <w:multiLevelType w:val="hybridMultilevel"/>
    <w:tmpl w:val="F7F87F88"/>
    <w:lvl w:ilvl="0" w:tplc="9350E84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D10730"/>
    <w:multiLevelType w:val="multilevel"/>
    <w:tmpl w:val="69B48D52"/>
    <w:styleLink w:val="CurrentList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A30B02"/>
    <w:multiLevelType w:val="hybridMultilevel"/>
    <w:tmpl w:val="B7CEF5F6"/>
    <w:lvl w:ilvl="0" w:tplc="7D26A612">
      <w:start w:val="1"/>
      <w:numFmt w:val="bullet"/>
      <w:lvlText w:val="·"/>
      <w:lvlJc w:val="left"/>
      <w:pPr>
        <w:ind w:left="720" w:hanging="360"/>
      </w:pPr>
      <w:rPr>
        <w:rFonts w:ascii="Symbol" w:hAnsi="Symbol" w:hint="default"/>
      </w:rPr>
    </w:lvl>
    <w:lvl w:ilvl="1" w:tplc="76C6273A">
      <w:start w:val="1"/>
      <w:numFmt w:val="bullet"/>
      <w:lvlText w:val="o"/>
      <w:lvlJc w:val="left"/>
      <w:pPr>
        <w:ind w:left="1440" w:hanging="360"/>
      </w:pPr>
      <w:rPr>
        <w:rFonts w:ascii="Courier New" w:hAnsi="Courier New" w:hint="default"/>
      </w:rPr>
    </w:lvl>
    <w:lvl w:ilvl="2" w:tplc="364A4188">
      <w:start w:val="1"/>
      <w:numFmt w:val="bullet"/>
      <w:lvlText w:val=""/>
      <w:lvlJc w:val="left"/>
      <w:pPr>
        <w:ind w:left="2160" w:hanging="360"/>
      </w:pPr>
      <w:rPr>
        <w:rFonts w:ascii="Wingdings" w:hAnsi="Wingdings" w:hint="default"/>
      </w:rPr>
    </w:lvl>
    <w:lvl w:ilvl="3" w:tplc="8256A2D0">
      <w:start w:val="1"/>
      <w:numFmt w:val="bullet"/>
      <w:lvlText w:val=""/>
      <w:lvlJc w:val="left"/>
      <w:pPr>
        <w:ind w:left="2880" w:hanging="360"/>
      </w:pPr>
      <w:rPr>
        <w:rFonts w:ascii="Symbol" w:hAnsi="Symbol" w:hint="default"/>
      </w:rPr>
    </w:lvl>
    <w:lvl w:ilvl="4" w:tplc="7BB41F8A">
      <w:start w:val="1"/>
      <w:numFmt w:val="bullet"/>
      <w:lvlText w:val="o"/>
      <w:lvlJc w:val="left"/>
      <w:pPr>
        <w:ind w:left="3600" w:hanging="360"/>
      </w:pPr>
      <w:rPr>
        <w:rFonts w:ascii="Courier New" w:hAnsi="Courier New" w:hint="default"/>
      </w:rPr>
    </w:lvl>
    <w:lvl w:ilvl="5" w:tplc="3D8EDE34">
      <w:start w:val="1"/>
      <w:numFmt w:val="bullet"/>
      <w:lvlText w:val=""/>
      <w:lvlJc w:val="left"/>
      <w:pPr>
        <w:ind w:left="4320" w:hanging="360"/>
      </w:pPr>
      <w:rPr>
        <w:rFonts w:ascii="Wingdings" w:hAnsi="Wingdings" w:hint="default"/>
      </w:rPr>
    </w:lvl>
    <w:lvl w:ilvl="6" w:tplc="F918D136">
      <w:start w:val="1"/>
      <w:numFmt w:val="bullet"/>
      <w:lvlText w:val=""/>
      <w:lvlJc w:val="left"/>
      <w:pPr>
        <w:ind w:left="5040" w:hanging="360"/>
      </w:pPr>
      <w:rPr>
        <w:rFonts w:ascii="Symbol" w:hAnsi="Symbol" w:hint="default"/>
      </w:rPr>
    </w:lvl>
    <w:lvl w:ilvl="7" w:tplc="B3625326">
      <w:start w:val="1"/>
      <w:numFmt w:val="bullet"/>
      <w:lvlText w:val="o"/>
      <w:lvlJc w:val="left"/>
      <w:pPr>
        <w:ind w:left="5760" w:hanging="360"/>
      </w:pPr>
      <w:rPr>
        <w:rFonts w:ascii="Courier New" w:hAnsi="Courier New" w:hint="default"/>
      </w:rPr>
    </w:lvl>
    <w:lvl w:ilvl="8" w:tplc="73725F32">
      <w:start w:val="1"/>
      <w:numFmt w:val="bullet"/>
      <w:lvlText w:val=""/>
      <w:lvlJc w:val="left"/>
      <w:pPr>
        <w:ind w:left="6480" w:hanging="360"/>
      </w:pPr>
      <w:rPr>
        <w:rFonts w:ascii="Wingdings" w:hAnsi="Wingdings" w:hint="default"/>
      </w:rPr>
    </w:lvl>
  </w:abstractNum>
  <w:abstractNum w:abstractNumId="3" w15:restartNumberingAfterBreak="0">
    <w:nsid w:val="0D0F347A"/>
    <w:multiLevelType w:val="hybridMultilevel"/>
    <w:tmpl w:val="C7440CE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F40405F"/>
    <w:multiLevelType w:val="hybridMultilevel"/>
    <w:tmpl w:val="E17E4900"/>
    <w:lvl w:ilvl="0" w:tplc="08090001">
      <w:start w:val="1"/>
      <w:numFmt w:val="bullet"/>
      <w:lvlText w:val=""/>
      <w:lvlJc w:val="left"/>
      <w:pPr>
        <w:ind w:left="360" w:hanging="360"/>
      </w:pPr>
      <w:rPr>
        <w:rFonts w:ascii="Symbol" w:hAnsi="Symbol" w:hint="default"/>
      </w:rPr>
    </w:lvl>
    <w:lvl w:ilvl="1" w:tplc="14463D8E">
      <w:numFmt w:val="bullet"/>
      <w:lvlText w:val="•"/>
      <w:lvlJc w:val="left"/>
      <w:pPr>
        <w:ind w:left="1440" w:hanging="720"/>
      </w:pPr>
      <w:rPr>
        <w:rFonts w:ascii="Calibri" w:eastAsiaTheme="minorHAnsi"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5F87679"/>
    <w:multiLevelType w:val="hybridMultilevel"/>
    <w:tmpl w:val="942CF8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6F26C52"/>
    <w:multiLevelType w:val="hybridMultilevel"/>
    <w:tmpl w:val="C23AD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1DFFBC"/>
    <w:multiLevelType w:val="hybridMultilevel"/>
    <w:tmpl w:val="6EBA3028"/>
    <w:lvl w:ilvl="0" w:tplc="E622287E">
      <w:start w:val="1"/>
      <w:numFmt w:val="bullet"/>
      <w:lvlText w:val="·"/>
      <w:lvlJc w:val="left"/>
      <w:pPr>
        <w:ind w:left="720" w:hanging="360"/>
      </w:pPr>
      <w:rPr>
        <w:rFonts w:ascii="Symbol" w:hAnsi="Symbol" w:hint="default"/>
      </w:rPr>
    </w:lvl>
    <w:lvl w:ilvl="1" w:tplc="EF148C3C">
      <w:start w:val="1"/>
      <w:numFmt w:val="bullet"/>
      <w:lvlText w:val="o"/>
      <w:lvlJc w:val="left"/>
      <w:pPr>
        <w:ind w:left="1440" w:hanging="360"/>
      </w:pPr>
      <w:rPr>
        <w:rFonts w:ascii="Courier New" w:hAnsi="Courier New" w:hint="default"/>
      </w:rPr>
    </w:lvl>
    <w:lvl w:ilvl="2" w:tplc="5D10AC12">
      <w:start w:val="1"/>
      <w:numFmt w:val="bullet"/>
      <w:lvlText w:val=""/>
      <w:lvlJc w:val="left"/>
      <w:pPr>
        <w:ind w:left="2160" w:hanging="360"/>
      </w:pPr>
      <w:rPr>
        <w:rFonts w:ascii="Wingdings" w:hAnsi="Wingdings" w:hint="default"/>
      </w:rPr>
    </w:lvl>
    <w:lvl w:ilvl="3" w:tplc="CCB0278E">
      <w:start w:val="1"/>
      <w:numFmt w:val="bullet"/>
      <w:lvlText w:val=""/>
      <w:lvlJc w:val="left"/>
      <w:pPr>
        <w:ind w:left="2880" w:hanging="360"/>
      </w:pPr>
      <w:rPr>
        <w:rFonts w:ascii="Symbol" w:hAnsi="Symbol" w:hint="default"/>
      </w:rPr>
    </w:lvl>
    <w:lvl w:ilvl="4" w:tplc="EEC6A3F2">
      <w:start w:val="1"/>
      <w:numFmt w:val="bullet"/>
      <w:lvlText w:val="o"/>
      <w:lvlJc w:val="left"/>
      <w:pPr>
        <w:ind w:left="3600" w:hanging="360"/>
      </w:pPr>
      <w:rPr>
        <w:rFonts w:ascii="Courier New" w:hAnsi="Courier New" w:hint="default"/>
      </w:rPr>
    </w:lvl>
    <w:lvl w:ilvl="5" w:tplc="242C1410">
      <w:start w:val="1"/>
      <w:numFmt w:val="bullet"/>
      <w:lvlText w:val=""/>
      <w:lvlJc w:val="left"/>
      <w:pPr>
        <w:ind w:left="4320" w:hanging="360"/>
      </w:pPr>
      <w:rPr>
        <w:rFonts w:ascii="Wingdings" w:hAnsi="Wingdings" w:hint="default"/>
      </w:rPr>
    </w:lvl>
    <w:lvl w:ilvl="6" w:tplc="F8463E6E">
      <w:start w:val="1"/>
      <w:numFmt w:val="bullet"/>
      <w:lvlText w:val=""/>
      <w:lvlJc w:val="left"/>
      <w:pPr>
        <w:ind w:left="5040" w:hanging="360"/>
      </w:pPr>
      <w:rPr>
        <w:rFonts w:ascii="Symbol" w:hAnsi="Symbol" w:hint="default"/>
      </w:rPr>
    </w:lvl>
    <w:lvl w:ilvl="7" w:tplc="8E583C08">
      <w:start w:val="1"/>
      <w:numFmt w:val="bullet"/>
      <w:lvlText w:val="o"/>
      <w:lvlJc w:val="left"/>
      <w:pPr>
        <w:ind w:left="5760" w:hanging="360"/>
      </w:pPr>
      <w:rPr>
        <w:rFonts w:ascii="Courier New" w:hAnsi="Courier New" w:hint="default"/>
      </w:rPr>
    </w:lvl>
    <w:lvl w:ilvl="8" w:tplc="70FA8FF2">
      <w:start w:val="1"/>
      <w:numFmt w:val="bullet"/>
      <w:lvlText w:val=""/>
      <w:lvlJc w:val="left"/>
      <w:pPr>
        <w:ind w:left="6480" w:hanging="360"/>
      </w:pPr>
      <w:rPr>
        <w:rFonts w:ascii="Wingdings" w:hAnsi="Wingdings" w:hint="default"/>
      </w:rPr>
    </w:lvl>
  </w:abstractNum>
  <w:abstractNum w:abstractNumId="8" w15:restartNumberingAfterBreak="0">
    <w:nsid w:val="1D6B5A44"/>
    <w:multiLevelType w:val="hybridMultilevel"/>
    <w:tmpl w:val="71A434CA"/>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9" w15:restartNumberingAfterBreak="0">
    <w:nsid w:val="32D669DC"/>
    <w:multiLevelType w:val="hybridMultilevel"/>
    <w:tmpl w:val="AFFE2CE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9E056AD"/>
    <w:multiLevelType w:val="hybridMultilevel"/>
    <w:tmpl w:val="CC928CCC"/>
    <w:lvl w:ilvl="0" w:tplc="D80857E6">
      <w:start w:val="1"/>
      <w:numFmt w:val="bullet"/>
      <w:lvlText w:val="·"/>
      <w:lvlJc w:val="left"/>
      <w:pPr>
        <w:ind w:left="720" w:hanging="360"/>
      </w:pPr>
      <w:rPr>
        <w:rFonts w:ascii="Symbol" w:hAnsi="Symbol" w:hint="default"/>
      </w:rPr>
    </w:lvl>
    <w:lvl w:ilvl="1" w:tplc="A1C0B536">
      <w:start w:val="1"/>
      <w:numFmt w:val="bullet"/>
      <w:lvlText w:val="o"/>
      <w:lvlJc w:val="left"/>
      <w:pPr>
        <w:ind w:left="1440" w:hanging="360"/>
      </w:pPr>
      <w:rPr>
        <w:rFonts w:ascii="Courier New" w:hAnsi="Courier New" w:hint="default"/>
      </w:rPr>
    </w:lvl>
    <w:lvl w:ilvl="2" w:tplc="82209040">
      <w:start w:val="1"/>
      <w:numFmt w:val="bullet"/>
      <w:lvlText w:val=""/>
      <w:lvlJc w:val="left"/>
      <w:pPr>
        <w:ind w:left="2160" w:hanging="360"/>
      </w:pPr>
      <w:rPr>
        <w:rFonts w:ascii="Wingdings" w:hAnsi="Wingdings" w:hint="default"/>
      </w:rPr>
    </w:lvl>
    <w:lvl w:ilvl="3" w:tplc="94EA6B60">
      <w:start w:val="1"/>
      <w:numFmt w:val="bullet"/>
      <w:lvlText w:val=""/>
      <w:lvlJc w:val="left"/>
      <w:pPr>
        <w:ind w:left="2880" w:hanging="360"/>
      </w:pPr>
      <w:rPr>
        <w:rFonts w:ascii="Symbol" w:hAnsi="Symbol" w:hint="default"/>
      </w:rPr>
    </w:lvl>
    <w:lvl w:ilvl="4" w:tplc="B67E8B94">
      <w:start w:val="1"/>
      <w:numFmt w:val="bullet"/>
      <w:lvlText w:val="o"/>
      <w:lvlJc w:val="left"/>
      <w:pPr>
        <w:ind w:left="3600" w:hanging="360"/>
      </w:pPr>
      <w:rPr>
        <w:rFonts w:ascii="Courier New" w:hAnsi="Courier New" w:hint="default"/>
      </w:rPr>
    </w:lvl>
    <w:lvl w:ilvl="5" w:tplc="3124B95E">
      <w:start w:val="1"/>
      <w:numFmt w:val="bullet"/>
      <w:lvlText w:val=""/>
      <w:lvlJc w:val="left"/>
      <w:pPr>
        <w:ind w:left="4320" w:hanging="360"/>
      </w:pPr>
      <w:rPr>
        <w:rFonts w:ascii="Wingdings" w:hAnsi="Wingdings" w:hint="default"/>
      </w:rPr>
    </w:lvl>
    <w:lvl w:ilvl="6" w:tplc="F7564A56">
      <w:start w:val="1"/>
      <w:numFmt w:val="bullet"/>
      <w:lvlText w:val=""/>
      <w:lvlJc w:val="left"/>
      <w:pPr>
        <w:ind w:left="5040" w:hanging="360"/>
      </w:pPr>
      <w:rPr>
        <w:rFonts w:ascii="Symbol" w:hAnsi="Symbol" w:hint="default"/>
      </w:rPr>
    </w:lvl>
    <w:lvl w:ilvl="7" w:tplc="37E6C8BE">
      <w:start w:val="1"/>
      <w:numFmt w:val="bullet"/>
      <w:lvlText w:val="o"/>
      <w:lvlJc w:val="left"/>
      <w:pPr>
        <w:ind w:left="5760" w:hanging="360"/>
      </w:pPr>
      <w:rPr>
        <w:rFonts w:ascii="Courier New" w:hAnsi="Courier New" w:hint="default"/>
      </w:rPr>
    </w:lvl>
    <w:lvl w:ilvl="8" w:tplc="D9A2CFB2">
      <w:start w:val="1"/>
      <w:numFmt w:val="bullet"/>
      <w:lvlText w:val=""/>
      <w:lvlJc w:val="left"/>
      <w:pPr>
        <w:ind w:left="6480" w:hanging="360"/>
      </w:pPr>
      <w:rPr>
        <w:rFonts w:ascii="Wingdings" w:hAnsi="Wingdings" w:hint="default"/>
      </w:rPr>
    </w:lvl>
  </w:abstractNum>
  <w:abstractNum w:abstractNumId="11" w15:restartNumberingAfterBreak="0">
    <w:nsid w:val="3FA55397"/>
    <w:multiLevelType w:val="hybridMultilevel"/>
    <w:tmpl w:val="37AE9FEE"/>
    <w:lvl w:ilvl="0" w:tplc="0A26C7E4">
      <w:start w:val="1"/>
      <w:numFmt w:val="bullet"/>
      <w:pStyle w:val="BulletDots"/>
      <w:lvlText w:val=""/>
      <w:lvlJc w:val="left"/>
      <w:pPr>
        <w:ind w:left="720" w:hanging="360"/>
      </w:pPr>
      <w:rPr>
        <w:rFonts w:ascii="Symbol" w:hAnsi="Symbol" w:hint="default"/>
        <w:color w:val="34B9C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7417A0"/>
    <w:multiLevelType w:val="multilevel"/>
    <w:tmpl w:val="60AE6148"/>
    <w:styleLink w:val="CurrentList1"/>
    <w:lvl w:ilvl="0">
      <w:start w:val="1"/>
      <w:numFmt w:val="bullet"/>
      <w:lvlText w:val=""/>
      <w:lvlJc w:val="left"/>
      <w:pPr>
        <w:ind w:left="720" w:hanging="360"/>
      </w:pPr>
      <w:rPr>
        <w:rFonts w:ascii="Symbol" w:hAnsi="Symbol" w:hint="default"/>
        <w:color w:val="0070C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44941307"/>
    <w:multiLevelType w:val="hybridMultilevel"/>
    <w:tmpl w:val="DC64A56A"/>
    <w:lvl w:ilvl="0" w:tplc="218A3364">
      <w:start w:val="3"/>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5EF1A08"/>
    <w:multiLevelType w:val="hybridMultilevel"/>
    <w:tmpl w:val="74F43416"/>
    <w:lvl w:ilvl="0" w:tplc="B31A8AFC">
      <w:start w:val="1"/>
      <w:numFmt w:val="bullet"/>
      <w:lvlText w:val="·"/>
      <w:lvlJc w:val="left"/>
      <w:pPr>
        <w:ind w:left="720" w:hanging="360"/>
      </w:pPr>
      <w:rPr>
        <w:rFonts w:ascii="Symbol" w:hAnsi="Symbol" w:hint="default"/>
      </w:rPr>
    </w:lvl>
    <w:lvl w:ilvl="1" w:tplc="85546AB8">
      <w:start w:val="1"/>
      <w:numFmt w:val="bullet"/>
      <w:lvlText w:val="o"/>
      <w:lvlJc w:val="left"/>
      <w:pPr>
        <w:ind w:left="1440" w:hanging="360"/>
      </w:pPr>
      <w:rPr>
        <w:rFonts w:ascii="Courier New" w:hAnsi="Courier New" w:hint="default"/>
      </w:rPr>
    </w:lvl>
    <w:lvl w:ilvl="2" w:tplc="B1B868A6">
      <w:start w:val="1"/>
      <w:numFmt w:val="bullet"/>
      <w:lvlText w:val=""/>
      <w:lvlJc w:val="left"/>
      <w:pPr>
        <w:ind w:left="2160" w:hanging="360"/>
      </w:pPr>
      <w:rPr>
        <w:rFonts w:ascii="Wingdings" w:hAnsi="Wingdings" w:hint="default"/>
      </w:rPr>
    </w:lvl>
    <w:lvl w:ilvl="3" w:tplc="2DBAAD58">
      <w:start w:val="1"/>
      <w:numFmt w:val="bullet"/>
      <w:lvlText w:val=""/>
      <w:lvlJc w:val="left"/>
      <w:pPr>
        <w:ind w:left="2880" w:hanging="360"/>
      </w:pPr>
      <w:rPr>
        <w:rFonts w:ascii="Symbol" w:hAnsi="Symbol" w:hint="default"/>
      </w:rPr>
    </w:lvl>
    <w:lvl w:ilvl="4" w:tplc="BF604254">
      <w:start w:val="1"/>
      <w:numFmt w:val="bullet"/>
      <w:lvlText w:val="o"/>
      <w:lvlJc w:val="left"/>
      <w:pPr>
        <w:ind w:left="3600" w:hanging="360"/>
      </w:pPr>
      <w:rPr>
        <w:rFonts w:ascii="Courier New" w:hAnsi="Courier New" w:hint="default"/>
      </w:rPr>
    </w:lvl>
    <w:lvl w:ilvl="5" w:tplc="2736B07E">
      <w:start w:val="1"/>
      <w:numFmt w:val="bullet"/>
      <w:lvlText w:val=""/>
      <w:lvlJc w:val="left"/>
      <w:pPr>
        <w:ind w:left="4320" w:hanging="360"/>
      </w:pPr>
      <w:rPr>
        <w:rFonts w:ascii="Wingdings" w:hAnsi="Wingdings" w:hint="default"/>
      </w:rPr>
    </w:lvl>
    <w:lvl w:ilvl="6" w:tplc="60401664">
      <w:start w:val="1"/>
      <w:numFmt w:val="bullet"/>
      <w:lvlText w:val=""/>
      <w:lvlJc w:val="left"/>
      <w:pPr>
        <w:ind w:left="5040" w:hanging="360"/>
      </w:pPr>
      <w:rPr>
        <w:rFonts w:ascii="Symbol" w:hAnsi="Symbol" w:hint="default"/>
      </w:rPr>
    </w:lvl>
    <w:lvl w:ilvl="7" w:tplc="59EC3930">
      <w:start w:val="1"/>
      <w:numFmt w:val="bullet"/>
      <w:lvlText w:val="o"/>
      <w:lvlJc w:val="left"/>
      <w:pPr>
        <w:ind w:left="5760" w:hanging="360"/>
      </w:pPr>
      <w:rPr>
        <w:rFonts w:ascii="Courier New" w:hAnsi="Courier New" w:hint="default"/>
      </w:rPr>
    </w:lvl>
    <w:lvl w:ilvl="8" w:tplc="4648B622">
      <w:start w:val="1"/>
      <w:numFmt w:val="bullet"/>
      <w:lvlText w:val=""/>
      <w:lvlJc w:val="left"/>
      <w:pPr>
        <w:ind w:left="6480" w:hanging="360"/>
      </w:pPr>
      <w:rPr>
        <w:rFonts w:ascii="Wingdings" w:hAnsi="Wingdings" w:hint="default"/>
      </w:rPr>
    </w:lvl>
  </w:abstractNum>
  <w:abstractNum w:abstractNumId="15" w15:restartNumberingAfterBreak="0">
    <w:nsid w:val="46BA5C74"/>
    <w:multiLevelType w:val="hybridMultilevel"/>
    <w:tmpl w:val="18E2D71A"/>
    <w:lvl w:ilvl="0" w:tplc="A8F66A24">
      <w:start w:val="1"/>
      <w:numFmt w:val="bullet"/>
      <w:lvlText w:val="·"/>
      <w:lvlJc w:val="left"/>
      <w:pPr>
        <w:ind w:left="720" w:hanging="360"/>
      </w:pPr>
      <w:rPr>
        <w:rFonts w:ascii="Symbol" w:hAnsi="Symbol" w:hint="default"/>
      </w:rPr>
    </w:lvl>
    <w:lvl w:ilvl="1" w:tplc="6B2CDA00">
      <w:start w:val="1"/>
      <w:numFmt w:val="bullet"/>
      <w:lvlText w:val="o"/>
      <w:lvlJc w:val="left"/>
      <w:pPr>
        <w:ind w:left="1440" w:hanging="360"/>
      </w:pPr>
      <w:rPr>
        <w:rFonts w:ascii="Courier New" w:hAnsi="Courier New" w:hint="default"/>
      </w:rPr>
    </w:lvl>
    <w:lvl w:ilvl="2" w:tplc="BDBA19EE">
      <w:start w:val="1"/>
      <w:numFmt w:val="bullet"/>
      <w:lvlText w:val=""/>
      <w:lvlJc w:val="left"/>
      <w:pPr>
        <w:ind w:left="2160" w:hanging="360"/>
      </w:pPr>
      <w:rPr>
        <w:rFonts w:ascii="Wingdings" w:hAnsi="Wingdings" w:hint="default"/>
      </w:rPr>
    </w:lvl>
    <w:lvl w:ilvl="3" w:tplc="1DF0D162">
      <w:start w:val="1"/>
      <w:numFmt w:val="bullet"/>
      <w:lvlText w:val=""/>
      <w:lvlJc w:val="left"/>
      <w:pPr>
        <w:ind w:left="2880" w:hanging="360"/>
      </w:pPr>
      <w:rPr>
        <w:rFonts w:ascii="Symbol" w:hAnsi="Symbol" w:hint="default"/>
      </w:rPr>
    </w:lvl>
    <w:lvl w:ilvl="4" w:tplc="53EE3D92">
      <w:start w:val="1"/>
      <w:numFmt w:val="bullet"/>
      <w:lvlText w:val="o"/>
      <w:lvlJc w:val="left"/>
      <w:pPr>
        <w:ind w:left="3600" w:hanging="360"/>
      </w:pPr>
      <w:rPr>
        <w:rFonts w:ascii="Courier New" w:hAnsi="Courier New" w:hint="default"/>
      </w:rPr>
    </w:lvl>
    <w:lvl w:ilvl="5" w:tplc="9352550E">
      <w:start w:val="1"/>
      <w:numFmt w:val="bullet"/>
      <w:lvlText w:val=""/>
      <w:lvlJc w:val="left"/>
      <w:pPr>
        <w:ind w:left="4320" w:hanging="360"/>
      </w:pPr>
      <w:rPr>
        <w:rFonts w:ascii="Wingdings" w:hAnsi="Wingdings" w:hint="default"/>
      </w:rPr>
    </w:lvl>
    <w:lvl w:ilvl="6" w:tplc="5D421044">
      <w:start w:val="1"/>
      <w:numFmt w:val="bullet"/>
      <w:lvlText w:val=""/>
      <w:lvlJc w:val="left"/>
      <w:pPr>
        <w:ind w:left="5040" w:hanging="360"/>
      </w:pPr>
      <w:rPr>
        <w:rFonts w:ascii="Symbol" w:hAnsi="Symbol" w:hint="default"/>
      </w:rPr>
    </w:lvl>
    <w:lvl w:ilvl="7" w:tplc="467A4110">
      <w:start w:val="1"/>
      <w:numFmt w:val="bullet"/>
      <w:lvlText w:val="o"/>
      <w:lvlJc w:val="left"/>
      <w:pPr>
        <w:ind w:left="5760" w:hanging="360"/>
      </w:pPr>
      <w:rPr>
        <w:rFonts w:ascii="Courier New" w:hAnsi="Courier New" w:hint="default"/>
      </w:rPr>
    </w:lvl>
    <w:lvl w:ilvl="8" w:tplc="84A41BBC">
      <w:start w:val="1"/>
      <w:numFmt w:val="bullet"/>
      <w:lvlText w:val=""/>
      <w:lvlJc w:val="left"/>
      <w:pPr>
        <w:ind w:left="6480" w:hanging="360"/>
      </w:pPr>
      <w:rPr>
        <w:rFonts w:ascii="Wingdings" w:hAnsi="Wingdings" w:hint="default"/>
      </w:rPr>
    </w:lvl>
  </w:abstractNum>
  <w:abstractNum w:abstractNumId="16" w15:restartNumberingAfterBreak="0">
    <w:nsid w:val="4D696D4F"/>
    <w:multiLevelType w:val="hybridMultilevel"/>
    <w:tmpl w:val="886044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271C5E"/>
    <w:multiLevelType w:val="hybridMultilevel"/>
    <w:tmpl w:val="09BA80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4D53663"/>
    <w:multiLevelType w:val="hybridMultilevel"/>
    <w:tmpl w:val="58F4E7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4F04DE7"/>
    <w:multiLevelType w:val="hybridMultilevel"/>
    <w:tmpl w:val="BC00CA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5F43D39"/>
    <w:multiLevelType w:val="hybridMultilevel"/>
    <w:tmpl w:val="1032AF1A"/>
    <w:lvl w:ilvl="0" w:tplc="E250D654">
      <w:start w:val="1"/>
      <w:numFmt w:val="decimal"/>
      <w:lvlText w:val="%1."/>
      <w:lvlJc w:val="left"/>
      <w:pPr>
        <w:ind w:left="720" w:hanging="360"/>
      </w:pPr>
      <w:rPr>
        <w:rFonts w:eastAsiaTheme="minorHAnsi" w:cstheme="minorBidi"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96549A8"/>
    <w:multiLevelType w:val="hybridMultilevel"/>
    <w:tmpl w:val="D0E8D4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DFD0AB6"/>
    <w:multiLevelType w:val="hybridMultilevel"/>
    <w:tmpl w:val="307C578E"/>
    <w:lvl w:ilvl="0" w:tplc="D93C5D7E">
      <w:start w:val="1"/>
      <w:numFmt w:val="bullet"/>
      <w:lvlText w:val=""/>
      <w:lvlJc w:val="left"/>
      <w:pPr>
        <w:ind w:left="170" w:hanging="17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073ABA5"/>
    <w:multiLevelType w:val="hybridMultilevel"/>
    <w:tmpl w:val="9E8018A4"/>
    <w:lvl w:ilvl="0" w:tplc="CD6AE374">
      <w:start w:val="1"/>
      <w:numFmt w:val="bullet"/>
      <w:lvlText w:val="·"/>
      <w:lvlJc w:val="left"/>
      <w:pPr>
        <w:ind w:left="720" w:hanging="360"/>
      </w:pPr>
      <w:rPr>
        <w:rFonts w:ascii="Symbol" w:hAnsi="Symbol" w:hint="default"/>
      </w:rPr>
    </w:lvl>
    <w:lvl w:ilvl="1" w:tplc="6D12C2DC">
      <w:start w:val="1"/>
      <w:numFmt w:val="bullet"/>
      <w:lvlText w:val="o"/>
      <w:lvlJc w:val="left"/>
      <w:pPr>
        <w:ind w:left="1440" w:hanging="360"/>
      </w:pPr>
      <w:rPr>
        <w:rFonts w:ascii="Courier New" w:hAnsi="Courier New" w:hint="default"/>
      </w:rPr>
    </w:lvl>
    <w:lvl w:ilvl="2" w:tplc="F04C59C8">
      <w:start w:val="1"/>
      <w:numFmt w:val="bullet"/>
      <w:lvlText w:val=""/>
      <w:lvlJc w:val="left"/>
      <w:pPr>
        <w:ind w:left="2160" w:hanging="360"/>
      </w:pPr>
      <w:rPr>
        <w:rFonts w:ascii="Wingdings" w:hAnsi="Wingdings" w:hint="default"/>
      </w:rPr>
    </w:lvl>
    <w:lvl w:ilvl="3" w:tplc="E892D368">
      <w:start w:val="1"/>
      <w:numFmt w:val="bullet"/>
      <w:lvlText w:val=""/>
      <w:lvlJc w:val="left"/>
      <w:pPr>
        <w:ind w:left="2880" w:hanging="360"/>
      </w:pPr>
      <w:rPr>
        <w:rFonts w:ascii="Symbol" w:hAnsi="Symbol" w:hint="default"/>
      </w:rPr>
    </w:lvl>
    <w:lvl w:ilvl="4" w:tplc="E63E6558">
      <w:start w:val="1"/>
      <w:numFmt w:val="bullet"/>
      <w:lvlText w:val="o"/>
      <w:lvlJc w:val="left"/>
      <w:pPr>
        <w:ind w:left="3600" w:hanging="360"/>
      </w:pPr>
      <w:rPr>
        <w:rFonts w:ascii="Courier New" w:hAnsi="Courier New" w:hint="default"/>
      </w:rPr>
    </w:lvl>
    <w:lvl w:ilvl="5" w:tplc="6C9E809E">
      <w:start w:val="1"/>
      <w:numFmt w:val="bullet"/>
      <w:lvlText w:val=""/>
      <w:lvlJc w:val="left"/>
      <w:pPr>
        <w:ind w:left="4320" w:hanging="360"/>
      </w:pPr>
      <w:rPr>
        <w:rFonts w:ascii="Wingdings" w:hAnsi="Wingdings" w:hint="default"/>
      </w:rPr>
    </w:lvl>
    <w:lvl w:ilvl="6" w:tplc="9F4A6028">
      <w:start w:val="1"/>
      <w:numFmt w:val="bullet"/>
      <w:lvlText w:val=""/>
      <w:lvlJc w:val="left"/>
      <w:pPr>
        <w:ind w:left="5040" w:hanging="360"/>
      </w:pPr>
      <w:rPr>
        <w:rFonts w:ascii="Symbol" w:hAnsi="Symbol" w:hint="default"/>
      </w:rPr>
    </w:lvl>
    <w:lvl w:ilvl="7" w:tplc="3C4EF9E2">
      <w:start w:val="1"/>
      <w:numFmt w:val="bullet"/>
      <w:lvlText w:val="o"/>
      <w:lvlJc w:val="left"/>
      <w:pPr>
        <w:ind w:left="5760" w:hanging="360"/>
      </w:pPr>
      <w:rPr>
        <w:rFonts w:ascii="Courier New" w:hAnsi="Courier New" w:hint="default"/>
      </w:rPr>
    </w:lvl>
    <w:lvl w:ilvl="8" w:tplc="1B12C93A">
      <w:start w:val="1"/>
      <w:numFmt w:val="bullet"/>
      <w:lvlText w:val=""/>
      <w:lvlJc w:val="left"/>
      <w:pPr>
        <w:ind w:left="6480" w:hanging="360"/>
      </w:pPr>
      <w:rPr>
        <w:rFonts w:ascii="Wingdings" w:hAnsi="Wingdings" w:hint="default"/>
      </w:rPr>
    </w:lvl>
  </w:abstractNum>
  <w:abstractNum w:abstractNumId="24" w15:restartNumberingAfterBreak="0">
    <w:nsid w:val="63E7720E"/>
    <w:multiLevelType w:val="hybridMultilevel"/>
    <w:tmpl w:val="38B02B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1E4793"/>
    <w:multiLevelType w:val="hybridMultilevel"/>
    <w:tmpl w:val="4C48F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B03FFF"/>
    <w:multiLevelType w:val="hybridMultilevel"/>
    <w:tmpl w:val="A1D2836A"/>
    <w:lvl w:ilvl="0" w:tplc="C756A266">
      <w:start w:val="4"/>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DE547D0"/>
    <w:multiLevelType w:val="hybridMultilevel"/>
    <w:tmpl w:val="D59656FC"/>
    <w:lvl w:ilvl="0" w:tplc="6C383784">
      <w:start w:val="1"/>
      <w:numFmt w:val="decimal"/>
      <w:pStyle w:val="BulletNumbers"/>
      <w:lvlText w:val="%1."/>
      <w:lvlJc w:val="left"/>
      <w:pPr>
        <w:ind w:left="720" w:hanging="360"/>
      </w:pPr>
      <w:rPr>
        <w:rFonts w:ascii="Ubuntu" w:hAnsi="Ubuntu" w:hint="default"/>
        <w:b/>
        <w:i w:val="0"/>
        <w:color w:val="34B9C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B180D48"/>
    <w:multiLevelType w:val="hybridMultilevel"/>
    <w:tmpl w:val="407669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7"/>
  </w:num>
  <w:num w:numId="3">
    <w:abstractNumId w:val="2"/>
  </w:num>
  <w:num w:numId="4">
    <w:abstractNumId w:val="14"/>
  </w:num>
  <w:num w:numId="5">
    <w:abstractNumId w:val="10"/>
  </w:num>
  <w:num w:numId="6">
    <w:abstractNumId w:val="23"/>
  </w:num>
  <w:num w:numId="7">
    <w:abstractNumId w:val="12"/>
  </w:num>
  <w:num w:numId="8">
    <w:abstractNumId w:val="11"/>
  </w:num>
  <w:num w:numId="9">
    <w:abstractNumId w:val="27"/>
  </w:num>
  <w:num w:numId="10">
    <w:abstractNumId w:val="1"/>
  </w:num>
  <w:num w:numId="11">
    <w:abstractNumId w:val="3"/>
  </w:num>
  <w:num w:numId="12">
    <w:abstractNumId w:val="4"/>
  </w:num>
  <w:num w:numId="13">
    <w:abstractNumId w:val="17"/>
  </w:num>
  <w:num w:numId="14">
    <w:abstractNumId w:val="19"/>
  </w:num>
  <w:num w:numId="15">
    <w:abstractNumId w:val="9"/>
  </w:num>
  <w:num w:numId="16">
    <w:abstractNumId w:val="0"/>
  </w:num>
  <w:num w:numId="17">
    <w:abstractNumId w:val="13"/>
  </w:num>
  <w:num w:numId="18">
    <w:abstractNumId w:val="8"/>
  </w:num>
  <w:num w:numId="19">
    <w:abstractNumId w:val="26"/>
  </w:num>
  <w:num w:numId="20">
    <w:abstractNumId w:val="20"/>
  </w:num>
  <w:num w:numId="21">
    <w:abstractNumId w:val="28"/>
  </w:num>
  <w:num w:numId="22">
    <w:abstractNumId w:val="22"/>
  </w:num>
  <w:num w:numId="23">
    <w:abstractNumId w:val="18"/>
  </w:num>
  <w:num w:numId="24">
    <w:abstractNumId w:val="21"/>
  </w:num>
  <w:num w:numId="25">
    <w:abstractNumId w:val="5"/>
  </w:num>
  <w:num w:numId="26">
    <w:abstractNumId w:val="16"/>
  </w:num>
  <w:num w:numId="27">
    <w:abstractNumId w:val="24"/>
  </w:num>
  <w:num w:numId="28">
    <w:abstractNumId w:val="25"/>
  </w:num>
  <w:num w:numId="29">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134"/>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0B4"/>
    <w:rsid w:val="00000040"/>
    <w:rsid w:val="00003E8C"/>
    <w:rsid w:val="0000709E"/>
    <w:rsid w:val="00010094"/>
    <w:rsid w:val="00014D86"/>
    <w:rsid w:val="00016DDE"/>
    <w:rsid w:val="000323A9"/>
    <w:rsid w:val="00032AD9"/>
    <w:rsid w:val="00034B10"/>
    <w:rsid w:val="00042312"/>
    <w:rsid w:val="0004298A"/>
    <w:rsid w:val="00045EA4"/>
    <w:rsid w:val="000475C5"/>
    <w:rsid w:val="00050CEB"/>
    <w:rsid w:val="00052B7D"/>
    <w:rsid w:val="00053281"/>
    <w:rsid w:val="00056EFC"/>
    <w:rsid w:val="000638EE"/>
    <w:rsid w:val="000729C9"/>
    <w:rsid w:val="000746A4"/>
    <w:rsid w:val="00077716"/>
    <w:rsid w:val="00081D5C"/>
    <w:rsid w:val="0008480D"/>
    <w:rsid w:val="000854E1"/>
    <w:rsid w:val="0008777C"/>
    <w:rsid w:val="00092ABF"/>
    <w:rsid w:val="000B0DE4"/>
    <w:rsid w:val="000B47D8"/>
    <w:rsid w:val="000B73E1"/>
    <w:rsid w:val="000C7B41"/>
    <w:rsid w:val="000D3277"/>
    <w:rsid w:val="000D3737"/>
    <w:rsid w:val="000E0D97"/>
    <w:rsid w:val="000E2717"/>
    <w:rsid w:val="000F2BBA"/>
    <w:rsid w:val="000F7A21"/>
    <w:rsid w:val="00105536"/>
    <w:rsid w:val="001112F5"/>
    <w:rsid w:val="00112F47"/>
    <w:rsid w:val="0011369D"/>
    <w:rsid w:val="001155AB"/>
    <w:rsid w:val="00121CA6"/>
    <w:rsid w:val="00122F3C"/>
    <w:rsid w:val="001333B0"/>
    <w:rsid w:val="001607A6"/>
    <w:rsid w:val="00166930"/>
    <w:rsid w:val="00170057"/>
    <w:rsid w:val="00175A1C"/>
    <w:rsid w:val="001841CA"/>
    <w:rsid w:val="001855A5"/>
    <w:rsid w:val="00193629"/>
    <w:rsid w:val="00196F22"/>
    <w:rsid w:val="001A3A01"/>
    <w:rsid w:val="001A5200"/>
    <w:rsid w:val="001B7338"/>
    <w:rsid w:val="001C0BFC"/>
    <w:rsid w:val="001C4080"/>
    <w:rsid w:val="001C77B8"/>
    <w:rsid w:val="001D38C0"/>
    <w:rsid w:val="001D629B"/>
    <w:rsid w:val="001E0D06"/>
    <w:rsid w:val="001E1385"/>
    <w:rsid w:val="001F2891"/>
    <w:rsid w:val="001F2AA7"/>
    <w:rsid w:val="001F329E"/>
    <w:rsid w:val="001F4A72"/>
    <w:rsid w:val="001F6955"/>
    <w:rsid w:val="002004B3"/>
    <w:rsid w:val="002013EE"/>
    <w:rsid w:val="0020201C"/>
    <w:rsid w:val="002054B1"/>
    <w:rsid w:val="00205638"/>
    <w:rsid w:val="0021553A"/>
    <w:rsid w:val="002253F1"/>
    <w:rsid w:val="0022567B"/>
    <w:rsid w:val="00227434"/>
    <w:rsid w:val="002330A3"/>
    <w:rsid w:val="002349B7"/>
    <w:rsid w:val="00242C07"/>
    <w:rsid w:val="0025234E"/>
    <w:rsid w:val="002544DD"/>
    <w:rsid w:val="002603E7"/>
    <w:rsid w:val="00262A16"/>
    <w:rsid w:val="00265FEC"/>
    <w:rsid w:val="002663A2"/>
    <w:rsid w:val="0027180D"/>
    <w:rsid w:val="00275D25"/>
    <w:rsid w:val="00276824"/>
    <w:rsid w:val="00281315"/>
    <w:rsid w:val="0029115A"/>
    <w:rsid w:val="002971F5"/>
    <w:rsid w:val="00297C2F"/>
    <w:rsid w:val="002B5002"/>
    <w:rsid w:val="002B67AC"/>
    <w:rsid w:val="002B7F99"/>
    <w:rsid w:val="002C079A"/>
    <w:rsid w:val="002C0DE0"/>
    <w:rsid w:val="002C50CB"/>
    <w:rsid w:val="002D0D6E"/>
    <w:rsid w:val="002D34AA"/>
    <w:rsid w:val="002D57A9"/>
    <w:rsid w:val="002E0D6B"/>
    <w:rsid w:val="002E25F2"/>
    <w:rsid w:val="002E6FD3"/>
    <w:rsid w:val="002F0FA4"/>
    <w:rsid w:val="002F123A"/>
    <w:rsid w:val="002F3242"/>
    <w:rsid w:val="002F3A31"/>
    <w:rsid w:val="002F405F"/>
    <w:rsid w:val="002F7C82"/>
    <w:rsid w:val="00306DFF"/>
    <w:rsid w:val="00311E5E"/>
    <w:rsid w:val="00312138"/>
    <w:rsid w:val="0031527F"/>
    <w:rsid w:val="00323578"/>
    <w:rsid w:val="00323748"/>
    <w:rsid w:val="00326474"/>
    <w:rsid w:val="00327F16"/>
    <w:rsid w:val="00332659"/>
    <w:rsid w:val="003403F5"/>
    <w:rsid w:val="00340A28"/>
    <w:rsid w:val="00343E29"/>
    <w:rsid w:val="003467C8"/>
    <w:rsid w:val="003529E6"/>
    <w:rsid w:val="003533B8"/>
    <w:rsid w:val="003551F5"/>
    <w:rsid w:val="00364711"/>
    <w:rsid w:val="00364AC4"/>
    <w:rsid w:val="003925AB"/>
    <w:rsid w:val="00394262"/>
    <w:rsid w:val="00394B1C"/>
    <w:rsid w:val="00396473"/>
    <w:rsid w:val="003A1077"/>
    <w:rsid w:val="003A5947"/>
    <w:rsid w:val="003A670F"/>
    <w:rsid w:val="003A6D02"/>
    <w:rsid w:val="003C1910"/>
    <w:rsid w:val="003C50EB"/>
    <w:rsid w:val="003D0310"/>
    <w:rsid w:val="003D0486"/>
    <w:rsid w:val="003D152E"/>
    <w:rsid w:val="003D25B4"/>
    <w:rsid w:val="003D4907"/>
    <w:rsid w:val="003D5469"/>
    <w:rsid w:val="003D5D7E"/>
    <w:rsid w:val="003E0715"/>
    <w:rsid w:val="003F4986"/>
    <w:rsid w:val="003F4EF8"/>
    <w:rsid w:val="003F767B"/>
    <w:rsid w:val="00403DCD"/>
    <w:rsid w:val="00406283"/>
    <w:rsid w:val="00407BF2"/>
    <w:rsid w:val="00413AD8"/>
    <w:rsid w:val="0042557C"/>
    <w:rsid w:val="004260B4"/>
    <w:rsid w:val="00430A6F"/>
    <w:rsid w:val="00457587"/>
    <w:rsid w:val="00464E6E"/>
    <w:rsid w:val="004661E7"/>
    <w:rsid w:val="0046696A"/>
    <w:rsid w:val="00470E11"/>
    <w:rsid w:val="004720E7"/>
    <w:rsid w:val="00472103"/>
    <w:rsid w:val="00472DD7"/>
    <w:rsid w:val="00474237"/>
    <w:rsid w:val="00483A6C"/>
    <w:rsid w:val="0049059E"/>
    <w:rsid w:val="004909C8"/>
    <w:rsid w:val="00497A4C"/>
    <w:rsid w:val="00497AD8"/>
    <w:rsid w:val="004A0001"/>
    <w:rsid w:val="004A032F"/>
    <w:rsid w:val="004A54EB"/>
    <w:rsid w:val="004B49CB"/>
    <w:rsid w:val="004B68DE"/>
    <w:rsid w:val="004C5890"/>
    <w:rsid w:val="004C6018"/>
    <w:rsid w:val="004C6AD4"/>
    <w:rsid w:val="004C7662"/>
    <w:rsid w:val="004D6598"/>
    <w:rsid w:val="004F42D0"/>
    <w:rsid w:val="005044D4"/>
    <w:rsid w:val="0050697D"/>
    <w:rsid w:val="00513CBB"/>
    <w:rsid w:val="00524700"/>
    <w:rsid w:val="0052545C"/>
    <w:rsid w:val="0053390E"/>
    <w:rsid w:val="00536F15"/>
    <w:rsid w:val="0053711F"/>
    <w:rsid w:val="005473A3"/>
    <w:rsid w:val="005533E2"/>
    <w:rsid w:val="00556D97"/>
    <w:rsid w:val="005612CB"/>
    <w:rsid w:val="005632C4"/>
    <w:rsid w:val="005673B4"/>
    <w:rsid w:val="00570B59"/>
    <w:rsid w:val="0058513A"/>
    <w:rsid w:val="00585D74"/>
    <w:rsid w:val="0059025A"/>
    <w:rsid w:val="0059041F"/>
    <w:rsid w:val="00592D11"/>
    <w:rsid w:val="0059518D"/>
    <w:rsid w:val="005A25B1"/>
    <w:rsid w:val="005A5140"/>
    <w:rsid w:val="005A57EA"/>
    <w:rsid w:val="005A59F1"/>
    <w:rsid w:val="005B25A0"/>
    <w:rsid w:val="005B59DA"/>
    <w:rsid w:val="005C073A"/>
    <w:rsid w:val="005C18BD"/>
    <w:rsid w:val="005C260B"/>
    <w:rsid w:val="005C6878"/>
    <w:rsid w:val="005D6D36"/>
    <w:rsid w:val="005E09A3"/>
    <w:rsid w:val="005E417F"/>
    <w:rsid w:val="005F104C"/>
    <w:rsid w:val="005F1533"/>
    <w:rsid w:val="005F3AA0"/>
    <w:rsid w:val="005F729D"/>
    <w:rsid w:val="006036A9"/>
    <w:rsid w:val="006044A4"/>
    <w:rsid w:val="0060469E"/>
    <w:rsid w:val="006063F1"/>
    <w:rsid w:val="00611B17"/>
    <w:rsid w:val="0061473A"/>
    <w:rsid w:val="00622D80"/>
    <w:rsid w:val="00632923"/>
    <w:rsid w:val="00636D47"/>
    <w:rsid w:val="0064037A"/>
    <w:rsid w:val="00641025"/>
    <w:rsid w:val="006442C7"/>
    <w:rsid w:val="00655501"/>
    <w:rsid w:val="00656C6C"/>
    <w:rsid w:val="00664022"/>
    <w:rsid w:val="00665806"/>
    <w:rsid w:val="0067037F"/>
    <w:rsid w:val="0067145C"/>
    <w:rsid w:val="00672094"/>
    <w:rsid w:val="0068065C"/>
    <w:rsid w:val="006827FB"/>
    <w:rsid w:val="00685694"/>
    <w:rsid w:val="00690D38"/>
    <w:rsid w:val="00692139"/>
    <w:rsid w:val="00693C8B"/>
    <w:rsid w:val="006945EE"/>
    <w:rsid w:val="006A312B"/>
    <w:rsid w:val="006B0929"/>
    <w:rsid w:val="006B79F6"/>
    <w:rsid w:val="006C178F"/>
    <w:rsid w:val="006C28D3"/>
    <w:rsid w:val="006C5AEC"/>
    <w:rsid w:val="006D6CCB"/>
    <w:rsid w:val="006E5676"/>
    <w:rsid w:val="006E6DB4"/>
    <w:rsid w:val="006F3FA8"/>
    <w:rsid w:val="007008BD"/>
    <w:rsid w:val="00703B0B"/>
    <w:rsid w:val="00705330"/>
    <w:rsid w:val="007125B6"/>
    <w:rsid w:val="00724017"/>
    <w:rsid w:val="007255E9"/>
    <w:rsid w:val="00727E7C"/>
    <w:rsid w:val="0073060E"/>
    <w:rsid w:val="00747505"/>
    <w:rsid w:val="00747C50"/>
    <w:rsid w:val="00757AC2"/>
    <w:rsid w:val="007628FB"/>
    <w:rsid w:val="00765BC1"/>
    <w:rsid w:val="007673C5"/>
    <w:rsid w:val="007719B8"/>
    <w:rsid w:val="00776B5B"/>
    <w:rsid w:val="007834E0"/>
    <w:rsid w:val="00786712"/>
    <w:rsid w:val="00787269"/>
    <w:rsid w:val="007874CD"/>
    <w:rsid w:val="00793A18"/>
    <w:rsid w:val="00795501"/>
    <w:rsid w:val="007C1E1E"/>
    <w:rsid w:val="007C7EF3"/>
    <w:rsid w:val="007D20D4"/>
    <w:rsid w:val="007D734B"/>
    <w:rsid w:val="007E524A"/>
    <w:rsid w:val="007F1862"/>
    <w:rsid w:val="007F5A47"/>
    <w:rsid w:val="007F7341"/>
    <w:rsid w:val="007F7C0D"/>
    <w:rsid w:val="00800321"/>
    <w:rsid w:val="00802F62"/>
    <w:rsid w:val="00813AAB"/>
    <w:rsid w:val="008149C9"/>
    <w:rsid w:val="008158AF"/>
    <w:rsid w:val="00815AEC"/>
    <w:rsid w:val="00826577"/>
    <w:rsid w:val="008273F2"/>
    <w:rsid w:val="00833015"/>
    <w:rsid w:val="00833EA3"/>
    <w:rsid w:val="0083449F"/>
    <w:rsid w:val="00835914"/>
    <w:rsid w:val="008404D1"/>
    <w:rsid w:val="00847B66"/>
    <w:rsid w:val="008648E8"/>
    <w:rsid w:val="00864C43"/>
    <w:rsid w:val="008729BA"/>
    <w:rsid w:val="00876F40"/>
    <w:rsid w:val="00886C85"/>
    <w:rsid w:val="008913DB"/>
    <w:rsid w:val="008A484C"/>
    <w:rsid w:val="008B06EE"/>
    <w:rsid w:val="008B2F5A"/>
    <w:rsid w:val="008B3D75"/>
    <w:rsid w:val="008C409E"/>
    <w:rsid w:val="008C6A70"/>
    <w:rsid w:val="008D13D4"/>
    <w:rsid w:val="008E524C"/>
    <w:rsid w:val="008F0362"/>
    <w:rsid w:val="00903026"/>
    <w:rsid w:val="00905AF7"/>
    <w:rsid w:val="0091129C"/>
    <w:rsid w:val="00917411"/>
    <w:rsid w:val="00917DC8"/>
    <w:rsid w:val="00923D5C"/>
    <w:rsid w:val="0092410B"/>
    <w:rsid w:val="00941E19"/>
    <w:rsid w:val="00943ADB"/>
    <w:rsid w:val="00947209"/>
    <w:rsid w:val="009562AE"/>
    <w:rsid w:val="00956716"/>
    <w:rsid w:val="00970016"/>
    <w:rsid w:val="00970FFB"/>
    <w:rsid w:val="00974BE9"/>
    <w:rsid w:val="009758D9"/>
    <w:rsid w:val="009957AC"/>
    <w:rsid w:val="009A152E"/>
    <w:rsid w:val="009A339F"/>
    <w:rsid w:val="009A6916"/>
    <w:rsid w:val="009C1136"/>
    <w:rsid w:val="009C437A"/>
    <w:rsid w:val="009D2992"/>
    <w:rsid w:val="009E5B3B"/>
    <w:rsid w:val="009E6657"/>
    <w:rsid w:val="009E7264"/>
    <w:rsid w:val="00A0692C"/>
    <w:rsid w:val="00A07CB0"/>
    <w:rsid w:val="00A10235"/>
    <w:rsid w:val="00A12D44"/>
    <w:rsid w:val="00A2438F"/>
    <w:rsid w:val="00A34E8B"/>
    <w:rsid w:val="00A35013"/>
    <w:rsid w:val="00A35AC6"/>
    <w:rsid w:val="00A437C9"/>
    <w:rsid w:val="00A445C7"/>
    <w:rsid w:val="00A471E7"/>
    <w:rsid w:val="00A501F6"/>
    <w:rsid w:val="00A50F4B"/>
    <w:rsid w:val="00A51ECC"/>
    <w:rsid w:val="00A53092"/>
    <w:rsid w:val="00A538ED"/>
    <w:rsid w:val="00A73C1B"/>
    <w:rsid w:val="00A815BE"/>
    <w:rsid w:val="00A83075"/>
    <w:rsid w:val="00A867F0"/>
    <w:rsid w:val="00A907F5"/>
    <w:rsid w:val="00A93BFD"/>
    <w:rsid w:val="00A94531"/>
    <w:rsid w:val="00AA1D04"/>
    <w:rsid w:val="00AA4CCE"/>
    <w:rsid w:val="00AB11C3"/>
    <w:rsid w:val="00AB6C3A"/>
    <w:rsid w:val="00AC634A"/>
    <w:rsid w:val="00AD48C2"/>
    <w:rsid w:val="00AD79E0"/>
    <w:rsid w:val="00AE1855"/>
    <w:rsid w:val="00AE188A"/>
    <w:rsid w:val="00AE6430"/>
    <w:rsid w:val="00AF0A02"/>
    <w:rsid w:val="00AF76A3"/>
    <w:rsid w:val="00B02D32"/>
    <w:rsid w:val="00B11865"/>
    <w:rsid w:val="00B1432A"/>
    <w:rsid w:val="00B159AD"/>
    <w:rsid w:val="00B27F34"/>
    <w:rsid w:val="00B30BB1"/>
    <w:rsid w:val="00B31C31"/>
    <w:rsid w:val="00B3242D"/>
    <w:rsid w:val="00B33BE3"/>
    <w:rsid w:val="00B40D9A"/>
    <w:rsid w:val="00B46235"/>
    <w:rsid w:val="00B50BB7"/>
    <w:rsid w:val="00B50EA1"/>
    <w:rsid w:val="00B51AF0"/>
    <w:rsid w:val="00B55698"/>
    <w:rsid w:val="00B61300"/>
    <w:rsid w:val="00B64A93"/>
    <w:rsid w:val="00B663F3"/>
    <w:rsid w:val="00B74D67"/>
    <w:rsid w:val="00B93E5D"/>
    <w:rsid w:val="00B967BA"/>
    <w:rsid w:val="00B967EC"/>
    <w:rsid w:val="00BA1DD3"/>
    <w:rsid w:val="00BB1A59"/>
    <w:rsid w:val="00BC23AD"/>
    <w:rsid w:val="00BC28AC"/>
    <w:rsid w:val="00BC6532"/>
    <w:rsid w:val="00BD0E77"/>
    <w:rsid w:val="00BD64AF"/>
    <w:rsid w:val="00BE05F6"/>
    <w:rsid w:val="00BE0C51"/>
    <w:rsid w:val="00C0672F"/>
    <w:rsid w:val="00C07042"/>
    <w:rsid w:val="00C10CE5"/>
    <w:rsid w:val="00C14AFF"/>
    <w:rsid w:val="00C260E8"/>
    <w:rsid w:val="00C3710B"/>
    <w:rsid w:val="00C37D3A"/>
    <w:rsid w:val="00C426C6"/>
    <w:rsid w:val="00C43173"/>
    <w:rsid w:val="00C467BF"/>
    <w:rsid w:val="00C53D99"/>
    <w:rsid w:val="00C56D6C"/>
    <w:rsid w:val="00C606B5"/>
    <w:rsid w:val="00C673B9"/>
    <w:rsid w:val="00C7162A"/>
    <w:rsid w:val="00C85321"/>
    <w:rsid w:val="00C93A0F"/>
    <w:rsid w:val="00C94CDF"/>
    <w:rsid w:val="00C97562"/>
    <w:rsid w:val="00CA04EF"/>
    <w:rsid w:val="00CA5F10"/>
    <w:rsid w:val="00CB2ADC"/>
    <w:rsid w:val="00CB3600"/>
    <w:rsid w:val="00CB5DBF"/>
    <w:rsid w:val="00CC06AF"/>
    <w:rsid w:val="00CD19B2"/>
    <w:rsid w:val="00CE48B8"/>
    <w:rsid w:val="00CF593E"/>
    <w:rsid w:val="00CF6CE5"/>
    <w:rsid w:val="00CF7C85"/>
    <w:rsid w:val="00D02044"/>
    <w:rsid w:val="00D06BE5"/>
    <w:rsid w:val="00D124FD"/>
    <w:rsid w:val="00D16A56"/>
    <w:rsid w:val="00D27698"/>
    <w:rsid w:val="00D30C64"/>
    <w:rsid w:val="00D33918"/>
    <w:rsid w:val="00D366B6"/>
    <w:rsid w:val="00D414B8"/>
    <w:rsid w:val="00D5215C"/>
    <w:rsid w:val="00D52E37"/>
    <w:rsid w:val="00D56AAD"/>
    <w:rsid w:val="00D72D4B"/>
    <w:rsid w:val="00D82171"/>
    <w:rsid w:val="00D836EA"/>
    <w:rsid w:val="00D93B49"/>
    <w:rsid w:val="00DA1165"/>
    <w:rsid w:val="00DA5BBC"/>
    <w:rsid w:val="00DC14D9"/>
    <w:rsid w:val="00DC17B0"/>
    <w:rsid w:val="00DC1F6A"/>
    <w:rsid w:val="00DC57A6"/>
    <w:rsid w:val="00DD059D"/>
    <w:rsid w:val="00DD4A33"/>
    <w:rsid w:val="00DE6A97"/>
    <w:rsid w:val="00DF11B9"/>
    <w:rsid w:val="00DF5D27"/>
    <w:rsid w:val="00DF6207"/>
    <w:rsid w:val="00DF6CF7"/>
    <w:rsid w:val="00E03E4F"/>
    <w:rsid w:val="00E051D5"/>
    <w:rsid w:val="00E057CA"/>
    <w:rsid w:val="00E1281E"/>
    <w:rsid w:val="00E128B7"/>
    <w:rsid w:val="00E20281"/>
    <w:rsid w:val="00E221E1"/>
    <w:rsid w:val="00E3197F"/>
    <w:rsid w:val="00E37192"/>
    <w:rsid w:val="00E47569"/>
    <w:rsid w:val="00E5603E"/>
    <w:rsid w:val="00E5761E"/>
    <w:rsid w:val="00E65E25"/>
    <w:rsid w:val="00E66E63"/>
    <w:rsid w:val="00E7121F"/>
    <w:rsid w:val="00E720BE"/>
    <w:rsid w:val="00E87009"/>
    <w:rsid w:val="00E96446"/>
    <w:rsid w:val="00EA4EE6"/>
    <w:rsid w:val="00EA71B3"/>
    <w:rsid w:val="00EC0C4C"/>
    <w:rsid w:val="00EC0E5A"/>
    <w:rsid w:val="00EC5EF8"/>
    <w:rsid w:val="00ED012F"/>
    <w:rsid w:val="00ED23C8"/>
    <w:rsid w:val="00EE0B29"/>
    <w:rsid w:val="00EF318F"/>
    <w:rsid w:val="00EF3FCE"/>
    <w:rsid w:val="00EF54C9"/>
    <w:rsid w:val="00EF5F27"/>
    <w:rsid w:val="00EF6AF9"/>
    <w:rsid w:val="00F053AC"/>
    <w:rsid w:val="00F111BA"/>
    <w:rsid w:val="00F15961"/>
    <w:rsid w:val="00F16A89"/>
    <w:rsid w:val="00F24681"/>
    <w:rsid w:val="00F31772"/>
    <w:rsid w:val="00F34887"/>
    <w:rsid w:val="00F353EC"/>
    <w:rsid w:val="00F35F8E"/>
    <w:rsid w:val="00F37F16"/>
    <w:rsid w:val="00F40BFA"/>
    <w:rsid w:val="00F42E93"/>
    <w:rsid w:val="00F4611A"/>
    <w:rsid w:val="00F547C9"/>
    <w:rsid w:val="00F606EC"/>
    <w:rsid w:val="00F60A63"/>
    <w:rsid w:val="00F62499"/>
    <w:rsid w:val="00F65919"/>
    <w:rsid w:val="00F67E29"/>
    <w:rsid w:val="00F74162"/>
    <w:rsid w:val="00F7522E"/>
    <w:rsid w:val="00F817B1"/>
    <w:rsid w:val="00F92F28"/>
    <w:rsid w:val="00F947A3"/>
    <w:rsid w:val="00F950EA"/>
    <w:rsid w:val="00F97310"/>
    <w:rsid w:val="00FA5390"/>
    <w:rsid w:val="00FA5D96"/>
    <w:rsid w:val="00FB0199"/>
    <w:rsid w:val="00FB209F"/>
    <w:rsid w:val="00FB4DA3"/>
    <w:rsid w:val="00FC068D"/>
    <w:rsid w:val="00FC125E"/>
    <w:rsid w:val="00FC1F36"/>
    <w:rsid w:val="00FD7598"/>
    <w:rsid w:val="00FE0CDD"/>
    <w:rsid w:val="00FE2C5D"/>
    <w:rsid w:val="00FF2D27"/>
    <w:rsid w:val="00FF3DBD"/>
    <w:rsid w:val="00FF63B3"/>
    <w:rsid w:val="00FF7652"/>
    <w:rsid w:val="0139ECD4"/>
    <w:rsid w:val="01A594A3"/>
    <w:rsid w:val="01AC850E"/>
    <w:rsid w:val="01C18026"/>
    <w:rsid w:val="01C2EC7F"/>
    <w:rsid w:val="02051C52"/>
    <w:rsid w:val="0213237E"/>
    <w:rsid w:val="031750B4"/>
    <w:rsid w:val="0373E85F"/>
    <w:rsid w:val="04085DE5"/>
    <w:rsid w:val="04BB51EF"/>
    <w:rsid w:val="04FA8D41"/>
    <w:rsid w:val="050072A7"/>
    <w:rsid w:val="05010E6E"/>
    <w:rsid w:val="05698C08"/>
    <w:rsid w:val="0580737D"/>
    <w:rsid w:val="0584D45F"/>
    <w:rsid w:val="05AAAC43"/>
    <w:rsid w:val="05F276EF"/>
    <w:rsid w:val="065241DA"/>
    <w:rsid w:val="0669DA3D"/>
    <w:rsid w:val="06A22CBD"/>
    <w:rsid w:val="06A7BFE3"/>
    <w:rsid w:val="06A7D4B5"/>
    <w:rsid w:val="0720A4C0"/>
    <w:rsid w:val="0727FE4F"/>
    <w:rsid w:val="08131B72"/>
    <w:rsid w:val="083BA2BE"/>
    <w:rsid w:val="0854984A"/>
    <w:rsid w:val="08A362A8"/>
    <w:rsid w:val="08C001C5"/>
    <w:rsid w:val="08F94ECB"/>
    <w:rsid w:val="08FC2395"/>
    <w:rsid w:val="09792559"/>
    <w:rsid w:val="09CDFE64"/>
    <w:rsid w:val="09D47F91"/>
    <w:rsid w:val="0A08E983"/>
    <w:rsid w:val="0A3C28C8"/>
    <w:rsid w:val="0A445A2C"/>
    <w:rsid w:val="0AD48FC5"/>
    <w:rsid w:val="0B4B2F39"/>
    <w:rsid w:val="0B7B3106"/>
    <w:rsid w:val="0BA0CBC2"/>
    <w:rsid w:val="0BB11887"/>
    <w:rsid w:val="0BC9AAE7"/>
    <w:rsid w:val="0BD0226C"/>
    <w:rsid w:val="0BE06AF8"/>
    <w:rsid w:val="0BED3294"/>
    <w:rsid w:val="0BFC72A8"/>
    <w:rsid w:val="0C16044D"/>
    <w:rsid w:val="0C1FB7C5"/>
    <w:rsid w:val="0CA397E2"/>
    <w:rsid w:val="0CCEB079"/>
    <w:rsid w:val="0D02971C"/>
    <w:rsid w:val="0D0C2053"/>
    <w:rsid w:val="0D0F13E1"/>
    <w:rsid w:val="0D170167"/>
    <w:rsid w:val="0DC5B9C1"/>
    <w:rsid w:val="0DD81DF0"/>
    <w:rsid w:val="0DDFE28E"/>
    <w:rsid w:val="0DE9AE77"/>
    <w:rsid w:val="0E5232A3"/>
    <w:rsid w:val="0E7A817B"/>
    <w:rsid w:val="0E95447B"/>
    <w:rsid w:val="0EB2D1C8"/>
    <w:rsid w:val="0EDE87D7"/>
    <w:rsid w:val="0F5FB472"/>
    <w:rsid w:val="0F62B9F9"/>
    <w:rsid w:val="0F7A9DC4"/>
    <w:rsid w:val="0F9D7AC8"/>
    <w:rsid w:val="0FB09FFF"/>
    <w:rsid w:val="0FD64462"/>
    <w:rsid w:val="0FF3E750"/>
    <w:rsid w:val="10315430"/>
    <w:rsid w:val="103BD38F"/>
    <w:rsid w:val="1046B4A3"/>
    <w:rsid w:val="10AB6A4C"/>
    <w:rsid w:val="10B85B84"/>
    <w:rsid w:val="1130ABAD"/>
    <w:rsid w:val="1174C131"/>
    <w:rsid w:val="11B582FD"/>
    <w:rsid w:val="11DF9176"/>
    <w:rsid w:val="122297C6"/>
    <w:rsid w:val="124C989A"/>
    <w:rsid w:val="126C2DD7"/>
    <w:rsid w:val="1277E8F8"/>
    <w:rsid w:val="12CE5B40"/>
    <w:rsid w:val="12D4F052"/>
    <w:rsid w:val="12D8E07C"/>
    <w:rsid w:val="12DCF40B"/>
    <w:rsid w:val="130B65A4"/>
    <w:rsid w:val="135AA6FE"/>
    <w:rsid w:val="1361262D"/>
    <w:rsid w:val="138642EB"/>
    <w:rsid w:val="13E1AA1C"/>
    <w:rsid w:val="14244B77"/>
    <w:rsid w:val="144E0EE7"/>
    <w:rsid w:val="146E8903"/>
    <w:rsid w:val="14A1766E"/>
    <w:rsid w:val="14FBDADF"/>
    <w:rsid w:val="15190690"/>
    <w:rsid w:val="151A25C6"/>
    <w:rsid w:val="1522134C"/>
    <w:rsid w:val="157FDF0A"/>
    <w:rsid w:val="15930B72"/>
    <w:rsid w:val="16534D56"/>
    <w:rsid w:val="16B5F627"/>
    <w:rsid w:val="16BDE3AD"/>
    <w:rsid w:val="170A0A30"/>
    <w:rsid w:val="172F4B3E"/>
    <w:rsid w:val="1814EFC4"/>
    <w:rsid w:val="182E1821"/>
    <w:rsid w:val="1893B024"/>
    <w:rsid w:val="1897A235"/>
    <w:rsid w:val="18DC06AA"/>
    <w:rsid w:val="18F9EC38"/>
    <w:rsid w:val="19595FD1"/>
    <w:rsid w:val="19BB0A90"/>
    <w:rsid w:val="19D52785"/>
    <w:rsid w:val="1A1696D6"/>
    <w:rsid w:val="1A43FE4F"/>
    <w:rsid w:val="1A684619"/>
    <w:rsid w:val="1A93ED5D"/>
    <w:rsid w:val="1AA69775"/>
    <w:rsid w:val="1AC6CA6B"/>
    <w:rsid w:val="1B20AECE"/>
    <w:rsid w:val="1B4903E2"/>
    <w:rsid w:val="1B548D87"/>
    <w:rsid w:val="1B7D1897"/>
    <w:rsid w:val="1BC0DB45"/>
    <w:rsid w:val="1C81886E"/>
    <w:rsid w:val="1D0F8F44"/>
    <w:rsid w:val="1D4AE049"/>
    <w:rsid w:val="1D60D1BA"/>
    <w:rsid w:val="1DF60658"/>
    <w:rsid w:val="1DFFD241"/>
    <w:rsid w:val="1E22524B"/>
    <w:rsid w:val="1E83D173"/>
    <w:rsid w:val="1EC5663D"/>
    <w:rsid w:val="1EC8F592"/>
    <w:rsid w:val="1F2C7C1F"/>
    <w:rsid w:val="1F3E76A7"/>
    <w:rsid w:val="1F52339C"/>
    <w:rsid w:val="1F8A7E39"/>
    <w:rsid w:val="1FB92930"/>
    <w:rsid w:val="1FE109CB"/>
    <w:rsid w:val="203BCEEC"/>
    <w:rsid w:val="204B523C"/>
    <w:rsid w:val="209F7348"/>
    <w:rsid w:val="2109E6BF"/>
    <w:rsid w:val="212DFE48"/>
    <w:rsid w:val="217CDA2C"/>
    <w:rsid w:val="2204ED06"/>
    <w:rsid w:val="221F4638"/>
    <w:rsid w:val="229497E7"/>
    <w:rsid w:val="22A0C29E"/>
    <w:rsid w:val="22C86250"/>
    <w:rsid w:val="22CB1E00"/>
    <w:rsid w:val="2321F8D9"/>
    <w:rsid w:val="233D4D1A"/>
    <w:rsid w:val="239C66B5"/>
    <w:rsid w:val="2452166D"/>
    <w:rsid w:val="246432B1"/>
    <w:rsid w:val="247371F6"/>
    <w:rsid w:val="248B512F"/>
    <w:rsid w:val="24B38F67"/>
    <w:rsid w:val="24BDC93A"/>
    <w:rsid w:val="25DED85E"/>
    <w:rsid w:val="2659999B"/>
    <w:rsid w:val="266E9C41"/>
    <w:rsid w:val="2733C4C6"/>
    <w:rsid w:val="27BE8483"/>
    <w:rsid w:val="27D11141"/>
    <w:rsid w:val="280B6A30"/>
    <w:rsid w:val="2896E825"/>
    <w:rsid w:val="28CE2E2B"/>
    <w:rsid w:val="28FE7224"/>
    <w:rsid w:val="2915A87B"/>
    <w:rsid w:val="299698F1"/>
    <w:rsid w:val="29C6E3EF"/>
    <w:rsid w:val="29FE2273"/>
    <w:rsid w:val="2AFBDBD7"/>
    <w:rsid w:val="2B430AF2"/>
    <w:rsid w:val="2B53D65E"/>
    <w:rsid w:val="2BF97DB1"/>
    <w:rsid w:val="2C498B34"/>
    <w:rsid w:val="2C68EAD3"/>
    <w:rsid w:val="2C6F4496"/>
    <w:rsid w:val="2C8194DF"/>
    <w:rsid w:val="2CE1AA1C"/>
    <w:rsid w:val="2D2AD1EF"/>
    <w:rsid w:val="2E31F616"/>
    <w:rsid w:val="2E7AABB4"/>
    <w:rsid w:val="2ED3E196"/>
    <w:rsid w:val="2EF65E8F"/>
    <w:rsid w:val="2F3B7214"/>
    <w:rsid w:val="2F3ED6AB"/>
    <w:rsid w:val="2F5C6C91"/>
    <w:rsid w:val="30090FC1"/>
    <w:rsid w:val="30167C15"/>
    <w:rsid w:val="30738879"/>
    <w:rsid w:val="307C71E5"/>
    <w:rsid w:val="3084003E"/>
    <w:rsid w:val="3088E34D"/>
    <w:rsid w:val="30C51617"/>
    <w:rsid w:val="3142B5B9"/>
    <w:rsid w:val="3151F4FE"/>
    <w:rsid w:val="31649D93"/>
    <w:rsid w:val="316E79DF"/>
    <w:rsid w:val="318CD7A7"/>
    <w:rsid w:val="31D1F5D4"/>
    <w:rsid w:val="327D243D"/>
    <w:rsid w:val="3286C0E9"/>
    <w:rsid w:val="32E673A0"/>
    <w:rsid w:val="338497F6"/>
    <w:rsid w:val="33B53627"/>
    <w:rsid w:val="342B72EF"/>
    <w:rsid w:val="3483B05A"/>
    <w:rsid w:val="3484AC9C"/>
    <w:rsid w:val="348D2515"/>
    <w:rsid w:val="34A61AA1"/>
    <w:rsid w:val="35DF8670"/>
    <w:rsid w:val="361E1462"/>
    <w:rsid w:val="369A2CF0"/>
    <w:rsid w:val="371043BE"/>
    <w:rsid w:val="373AE239"/>
    <w:rsid w:val="37897831"/>
    <w:rsid w:val="3799E650"/>
    <w:rsid w:val="37A1D7E5"/>
    <w:rsid w:val="3835FD51"/>
    <w:rsid w:val="38A5BA30"/>
    <w:rsid w:val="38F47CD6"/>
    <w:rsid w:val="39419AE7"/>
    <w:rsid w:val="39BE40B8"/>
    <w:rsid w:val="39C05387"/>
    <w:rsid w:val="39DDC014"/>
    <w:rsid w:val="3A471B00"/>
    <w:rsid w:val="3AA3B4FA"/>
    <w:rsid w:val="3AF18585"/>
    <w:rsid w:val="3AF8D744"/>
    <w:rsid w:val="3B611C42"/>
    <w:rsid w:val="3C84DB3C"/>
    <w:rsid w:val="3CD55E82"/>
    <w:rsid w:val="3CF7F449"/>
    <w:rsid w:val="3CF9A0BC"/>
    <w:rsid w:val="3D0751A4"/>
    <w:rsid w:val="3D561479"/>
    <w:rsid w:val="3D6905A7"/>
    <w:rsid w:val="3DDA7B96"/>
    <w:rsid w:val="3E523252"/>
    <w:rsid w:val="3E6A3ACD"/>
    <w:rsid w:val="3EA98870"/>
    <w:rsid w:val="3EB487A6"/>
    <w:rsid w:val="3EFF826D"/>
    <w:rsid w:val="3F04D608"/>
    <w:rsid w:val="3F8DC0C1"/>
    <w:rsid w:val="4023EBC5"/>
    <w:rsid w:val="4048BD68"/>
    <w:rsid w:val="40A0A669"/>
    <w:rsid w:val="40E24294"/>
    <w:rsid w:val="4102899E"/>
    <w:rsid w:val="412B44B5"/>
    <w:rsid w:val="416BA81D"/>
    <w:rsid w:val="41D05DC6"/>
    <w:rsid w:val="421A9CF8"/>
    <w:rsid w:val="42367409"/>
    <w:rsid w:val="4327370C"/>
    <w:rsid w:val="43B7DC32"/>
    <w:rsid w:val="4449BD1A"/>
    <w:rsid w:val="445E8495"/>
    <w:rsid w:val="44E8648A"/>
    <w:rsid w:val="45DC85F5"/>
    <w:rsid w:val="460AF943"/>
    <w:rsid w:val="460FF17E"/>
    <w:rsid w:val="46166CBD"/>
    <w:rsid w:val="465D9A40"/>
    <w:rsid w:val="470FE7ED"/>
    <w:rsid w:val="471097E7"/>
    <w:rsid w:val="47529AC1"/>
    <w:rsid w:val="479A8639"/>
    <w:rsid w:val="479E12DD"/>
    <w:rsid w:val="479E9A27"/>
    <w:rsid w:val="4874D366"/>
    <w:rsid w:val="48E4CB8C"/>
    <w:rsid w:val="4939E33E"/>
    <w:rsid w:val="4957EA9E"/>
    <w:rsid w:val="49DED6BC"/>
    <w:rsid w:val="4A219E59"/>
    <w:rsid w:val="4A515498"/>
    <w:rsid w:val="4A8AFCCB"/>
    <w:rsid w:val="4AA634C9"/>
    <w:rsid w:val="4ABDFFA0"/>
    <w:rsid w:val="4AD5B39F"/>
    <w:rsid w:val="4B4EFAEE"/>
    <w:rsid w:val="4C311210"/>
    <w:rsid w:val="4D210827"/>
    <w:rsid w:val="4D22E468"/>
    <w:rsid w:val="4DA21DB7"/>
    <w:rsid w:val="4DBC744F"/>
    <w:rsid w:val="4E021BC9"/>
    <w:rsid w:val="4E19A6B3"/>
    <w:rsid w:val="4E33F97E"/>
    <w:rsid w:val="4E425FF9"/>
    <w:rsid w:val="4E8516D1"/>
    <w:rsid w:val="4EEB27DF"/>
    <w:rsid w:val="4EED7533"/>
    <w:rsid w:val="4F1AF9D2"/>
    <w:rsid w:val="4F307C7F"/>
    <w:rsid w:val="4F897B64"/>
    <w:rsid w:val="4FC4F205"/>
    <w:rsid w:val="4FE172D7"/>
    <w:rsid w:val="504DA65B"/>
    <w:rsid w:val="5093D288"/>
    <w:rsid w:val="50BA734E"/>
    <w:rsid w:val="5105FD45"/>
    <w:rsid w:val="514F021E"/>
    <w:rsid w:val="51841393"/>
    <w:rsid w:val="519EAD61"/>
    <w:rsid w:val="52137652"/>
    <w:rsid w:val="528DF3EF"/>
    <w:rsid w:val="52E0C584"/>
    <w:rsid w:val="52FC92C7"/>
    <w:rsid w:val="535AC195"/>
    <w:rsid w:val="53EAC545"/>
    <w:rsid w:val="54039D70"/>
    <w:rsid w:val="543D9E07"/>
    <w:rsid w:val="546BC6EF"/>
    <w:rsid w:val="546F57CE"/>
    <w:rsid w:val="54DF8526"/>
    <w:rsid w:val="54F78DA1"/>
    <w:rsid w:val="554DDE11"/>
    <w:rsid w:val="559BA887"/>
    <w:rsid w:val="55B393F7"/>
    <w:rsid w:val="55D96E68"/>
    <w:rsid w:val="560788F1"/>
    <w:rsid w:val="56186646"/>
    <w:rsid w:val="56A583AC"/>
    <w:rsid w:val="571E9CC9"/>
    <w:rsid w:val="5721FC8C"/>
    <w:rsid w:val="573435D1"/>
    <w:rsid w:val="57B93888"/>
    <w:rsid w:val="57D003EA"/>
    <w:rsid w:val="57FF1DBB"/>
    <w:rsid w:val="583AC2E9"/>
    <w:rsid w:val="5894D20D"/>
    <w:rsid w:val="589806D3"/>
    <w:rsid w:val="58EB34B9"/>
    <w:rsid w:val="59861F36"/>
    <w:rsid w:val="59D83229"/>
    <w:rsid w:val="5A4B5C77"/>
    <w:rsid w:val="5AC179A9"/>
    <w:rsid w:val="5AE05E0E"/>
    <w:rsid w:val="5AEBD769"/>
    <w:rsid w:val="5AFCFE1B"/>
    <w:rsid w:val="5B999528"/>
    <w:rsid w:val="5BA9BCFE"/>
    <w:rsid w:val="5C87A7CA"/>
    <w:rsid w:val="5CFD5812"/>
    <w:rsid w:val="5D2D3F28"/>
    <w:rsid w:val="5DD7A236"/>
    <w:rsid w:val="5DEAA670"/>
    <w:rsid w:val="5E23782B"/>
    <w:rsid w:val="5E4C026B"/>
    <w:rsid w:val="5EA1594D"/>
    <w:rsid w:val="5EC7F9C4"/>
    <w:rsid w:val="5EF95E8B"/>
    <w:rsid w:val="5F970F98"/>
    <w:rsid w:val="5FE89F5C"/>
    <w:rsid w:val="607D2E21"/>
    <w:rsid w:val="60D25166"/>
    <w:rsid w:val="61026367"/>
    <w:rsid w:val="614424FF"/>
    <w:rsid w:val="614FDEE6"/>
    <w:rsid w:val="61889F9D"/>
    <w:rsid w:val="6218FE82"/>
    <w:rsid w:val="62614F70"/>
    <w:rsid w:val="6343B022"/>
    <w:rsid w:val="63CDF740"/>
    <w:rsid w:val="63FD1FD1"/>
    <w:rsid w:val="64169659"/>
    <w:rsid w:val="6454F20A"/>
    <w:rsid w:val="64F4AC02"/>
    <w:rsid w:val="6556108C"/>
    <w:rsid w:val="66D30BA9"/>
    <w:rsid w:val="670924A6"/>
    <w:rsid w:val="6729DF7F"/>
    <w:rsid w:val="6742FF39"/>
    <w:rsid w:val="674A599B"/>
    <w:rsid w:val="67D62E86"/>
    <w:rsid w:val="67F98123"/>
    <w:rsid w:val="680C5B8D"/>
    <w:rsid w:val="681E49CA"/>
    <w:rsid w:val="684787F1"/>
    <w:rsid w:val="686F4B75"/>
    <w:rsid w:val="68884006"/>
    <w:rsid w:val="68902D8C"/>
    <w:rsid w:val="690E7F1B"/>
    <w:rsid w:val="6941D113"/>
    <w:rsid w:val="697182E5"/>
    <w:rsid w:val="697AB2A6"/>
    <w:rsid w:val="69C15D44"/>
    <w:rsid w:val="6A2BFDED"/>
    <w:rsid w:val="6A687009"/>
    <w:rsid w:val="6ABBBD24"/>
    <w:rsid w:val="6AC92978"/>
    <w:rsid w:val="6B34885B"/>
    <w:rsid w:val="6B5836C2"/>
    <w:rsid w:val="6BF60A7A"/>
    <w:rsid w:val="6C422DCC"/>
    <w:rsid w:val="6CA85E00"/>
    <w:rsid w:val="6CD22279"/>
    <w:rsid w:val="6CE2C56E"/>
    <w:rsid w:val="6CF86554"/>
    <w:rsid w:val="6D639EAF"/>
    <w:rsid w:val="6D992103"/>
    <w:rsid w:val="6DF0A781"/>
    <w:rsid w:val="6E55CC65"/>
    <w:rsid w:val="6E73BB99"/>
    <w:rsid w:val="6ED5BAC2"/>
    <w:rsid w:val="6EEFED60"/>
    <w:rsid w:val="6EFF6F10"/>
    <w:rsid w:val="6F0B0252"/>
    <w:rsid w:val="6F4659E8"/>
    <w:rsid w:val="6F5119C9"/>
    <w:rsid w:val="6F6CEF24"/>
    <w:rsid w:val="6F9B3A85"/>
    <w:rsid w:val="6FB8B824"/>
    <w:rsid w:val="6FCE16A1"/>
    <w:rsid w:val="6FF4D1F1"/>
    <w:rsid w:val="7029C982"/>
    <w:rsid w:val="702D0FAA"/>
    <w:rsid w:val="704B349D"/>
    <w:rsid w:val="7168F38F"/>
    <w:rsid w:val="717BCF23"/>
    <w:rsid w:val="71BA06AD"/>
    <w:rsid w:val="71FD055E"/>
    <w:rsid w:val="72471297"/>
    <w:rsid w:val="7306C954"/>
    <w:rsid w:val="7325C38E"/>
    <w:rsid w:val="7392B72A"/>
    <w:rsid w:val="744E4D77"/>
    <w:rsid w:val="74EA4EDC"/>
    <w:rsid w:val="74F437F4"/>
    <w:rsid w:val="75037739"/>
    <w:rsid w:val="755B3F1B"/>
    <w:rsid w:val="75795812"/>
    <w:rsid w:val="758C5BC5"/>
    <w:rsid w:val="75A432E8"/>
    <w:rsid w:val="75DFC76A"/>
    <w:rsid w:val="76716480"/>
    <w:rsid w:val="76990B06"/>
    <w:rsid w:val="76A2E980"/>
    <w:rsid w:val="76B3A8E0"/>
    <w:rsid w:val="76DF04B6"/>
    <w:rsid w:val="76F70F7C"/>
    <w:rsid w:val="77048314"/>
    <w:rsid w:val="77AAA1AC"/>
    <w:rsid w:val="780CB961"/>
    <w:rsid w:val="7845B170"/>
    <w:rsid w:val="784A947F"/>
    <w:rsid w:val="78A1F074"/>
    <w:rsid w:val="78A65156"/>
    <w:rsid w:val="78F85104"/>
    <w:rsid w:val="79655214"/>
    <w:rsid w:val="796E1B26"/>
    <w:rsid w:val="79AC7F97"/>
    <w:rsid w:val="79F36D3D"/>
    <w:rsid w:val="7A20EC3C"/>
    <w:rsid w:val="7AD69928"/>
    <w:rsid w:val="7AEA753F"/>
    <w:rsid w:val="7B3F32CA"/>
    <w:rsid w:val="7B6C7C29"/>
    <w:rsid w:val="7BAC36D5"/>
    <w:rsid w:val="7BDDF218"/>
    <w:rsid w:val="7BE77F8C"/>
    <w:rsid w:val="7D314766"/>
    <w:rsid w:val="7D9DF031"/>
    <w:rsid w:val="7DA19872"/>
    <w:rsid w:val="7DAAE579"/>
    <w:rsid w:val="7DAF44CD"/>
    <w:rsid w:val="7DD6D480"/>
    <w:rsid w:val="7E0ADB60"/>
    <w:rsid w:val="7E330B8D"/>
    <w:rsid w:val="7E356F34"/>
    <w:rsid w:val="7E89DF63"/>
    <w:rsid w:val="7EA665F0"/>
    <w:rsid w:val="7F1592DA"/>
    <w:rsid w:val="7F18C9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0BB143"/>
  <w15:chartTrackingRefBased/>
  <w15:docId w15:val="{C50B752F-85F0-476B-8060-9DD2141DC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339F"/>
  </w:style>
  <w:style w:type="paragraph" w:styleId="Heading1">
    <w:name w:val="heading 1"/>
    <w:basedOn w:val="Normal"/>
    <w:next w:val="Normal"/>
    <w:link w:val="Heading1Char"/>
    <w:uiPriority w:val="9"/>
    <w:qFormat/>
    <w:rsid w:val="00D33918"/>
    <w:pPr>
      <w:keepNext/>
      <w:keepLines/>
      <w:spacing w:before="240" w:line="276" w:lineRule="auto"/>
      <w:outlineLvl w:val="0"/>
    </w:pPr>
    <w:rPr>
      <w:rFonts w:ascii="Verdana" w:eastAsia="Calibri" w:hAnsi="Verdana" w:cstheme="majorBidi"/>
      <w:b/>
      <w:sz w:val="28"/>
      <w:szCs w:val="32"/>
    </w:rPr>
  </w:style>
  <w:style w:type="paragraph" w:styleId="Heading2">
    <w:name w:val="heading 2"/>
    <w:basedOn w:val="Normal"/>
    <w:next w:val="Normal"/>
    <w:link w:val="Heading2Char"/>
    <w:uiPriority w:val="9"/>
    <w:unhideWhenUsed/>
    <w:qFormat/>
    <w:rsid w:val="00D5215C"/>
    <w:pPr>
      <w:keepNext/>
      <w:keepLines/>
      <w:spacing w:before="40" w:line="276" w:lineRule="auto"/>
      <w:outlineLvl w:val="1"/>
    </w:pPr>
    <w:rPr>
      <w:rFonts w:ascii="Verdana" w:eastAsiaTheme="majorEastAsia" w:hAnsi="Verdana" w:cstheme="majorBidi"/>
      <w:b/>
      <w:color w:val="FFFFFF" w:themeColor="background1"/>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2054B1"/>
    <w:pPr>
      <w:autoSpaceDE w:val="0"/>
      <w:autoSpaceDN w:val="0"/>
      <w:adjustRightInd w:val="0"/>
      <w:spacing w:line="288" w:lineRule="auto"/>
      <w:textAlignment w:val="center"/>
    </w:pPr>
    <w:rPr>
      <w:rFonts w:ascii="MinionPro-Regular" w:hAnsi="MinionPro-Regular" w:cs="MinionPro-Regular"/>
      <w:color w:val="000000"/>
    </w:rPr>
  </w:style>
  <w:style w:type="paragraph" w:customStyle="1" w:styleId="ContentsList">
    <w:name w:val="Contents List"/>
    <w:basedOn w:val="BasicParagraph"/>
    <w:qFormat/>
    <w:rsid w:val="002054B1"/>
    <w:pPr>
      <w:tabs>
        <w:tab w:val="right" w:leader="dot" w:pos="9760"/>
      </w:tabs>
      <w:spacing w:line="480" w:lineRule="auto"/>
    </w:pPr>
    <w:rPr>
      <w:rFonts w:ascii="Arial" w:hAnsi="Arial" w:cs="Arial"/>
    </w:rPr>
  </w:style>
  <w:style w:type="paragraph" w:customStyle="1" w:styleId="SubHeading1">
    <w:name w:val="Sub Heading 1"/>
    <w:basedOn w:val="BasicParagraph"/>
    <w:qFormat/>
    <w:rsid w:val="007F1862"/>
    <w:pPr>
      <w:tabs>
        <w:tab w:val="right" w:pos="9760"/>
      </w:tabs>
      <w:spacing w:after="113"/>
    </w:pPr>
    <w:rPr>
      <w:rFonts w:ascii="Verdana" w:hAnsi="Verdana" w:cs="Ubuntu"/>
      <w:b/>
      <w:bCs/>
      <w:color w:val="34B9CE"/>
      <w:sz w:val="20"/>
      <w:szCs w:val="28"/>
    </w:rPr>
  </w:style>
  <w:style w:type="paragraph" w:customStyle="1" w:styleId="PullQuote">
    <w:name w:val="Pull Quote"/>
    <w:basedOn w:val="Normal"/>
    <w:qFormat/>
    <w:rsid w:val="00F053AC"/>
    <w:pPr>
      <w:jc w:val="center"/>
    </w:pPr>
    <w:rPr>
      <w:rFonts w:ascii="Arial" w:hAnsi="Arial"/>
      <w:b/>
      <w:bCs/>
      <w:color w:val="FFFFFF" w:themeColor="background1"/>
      <w:sz w:val="36"/>
      <w:szCs w:val="36"/>
    </w:rPr>
  </w:style>
  <w:style w:type="paragraph" w:customStyle="1" w:styleId="Body">
    <w:name w:val="Body"/>
    <w:basedOn w:val="Normal"/>
    <w:qFormat/>
    <w:rsid w:val="000746A4"/>
    <w:pPr>
      <w:tabs>
        <w:tab w:val="right" w:pos="9760"/>
      </w:tabs>
      <w:suppressAutoHyphens/>
      <w:autoSpaceDE w:val="0"/>
      <w:autoSpaceDN w:val="0"/>
      <w:adjustRightInd w:val="0"/>
      <w:spacing w:after="113" w:line="400" w:lineRule="atLeast"/>
      <w:textAlignment w:val="center"/>
    </w:pPr>
    <w:rPr>
      <w:rFonts w:ascii="Arial" w:hAnsi="Arial" w:cs="Arial"/>
      <w:color w:val="000000"/>
    </w:rPr>
  </w:style>
  <w:style w:type="paragraph" w:customStyle="1" w:styleId="bullets">
    <w:name w:val="bullets"/>
    <w:basedOn w:val="Normal"/>
    <w:uiPriority w:val="99"/>
    <w:rsid w:val="000746A4"/>
    <w:pPr>
      <w:tabs>
        <w:tab w:val="right" w:pos="9760"/>
      </w:tabs>
      <w:suppressAutoHyphens/>
      <w:autoSpaceDE w:val="0"/>
      <w:autoSpaceDN w:val="0"/>
      <w:adjustRightInd w:val="0"/>
      <w:spacing w:after="113" w:line="400" w:lineRule="atLeast"/>
      <w:ind w:left="227" w:hanging="227"/>
      <w:textAlignment w:val="center"/>
    </w:pPr>
    <w:rPr>
      <w:rFonts w:ascii="Arial" w:hAnsi="Arial" w:cs="Arial"/>
      <w:color w:val="000000"/>
    </w:rPr>
  </w:style>
  <w:style w:type="character" w:customStyle="1" w:styleId="bullets1">
    <w:name w:val="bullets1"/>
    <w:uiPriority w:val="99"/>
    <w:rsid w:val="00457587"/>
    <w:rPr>
      <w:color w:val="28B8CE"/>
    </w:rPr>
  </w:style>
  <w:style w:type="numbering" w:customStyle="1" w:styleId="CurrentList1">
    <w:name w:val="Current List1"/>
    <w:uiPriority w:val="99"/>
    <w:rsid w:val="00457587"/>
    <w:pPr>
      <w:numPr>
        <w:numId w:val="7"/>
      </w:numPr>
    </w:pPr>
  </w:style>
  <w:style w:type="paragraph" w:customStyle="1" w:styleId="BulletDots">
    <w:name w:val="Bullet Dots"/>
    <w:basedOn w:val="bullets"/>
    <w:qFormat/>
    <w:rsid w:val="00457587"/>
    <w:pPr>
      <w:numPr>
        <w:numId w:val="8"/>
      </w:numPr>
    </w:pPr>
  </w:style>
  <w:style w:type="paragraph" w:customStyle="1" w:styleId="bulletsnumbers">
    <w:name w:val="bullets numbers"/>
    <w:basedOn w:val="bullets"/>
    <w:uiPriority w:val="99"/>
    <w:rsid w:val="00457587"/>
  </w:style>
  <w:style w:type="numbering" w:customStyle="1" w:styleId="CurrentList2">
    <w:name w:val="Current List2"/>
    <w:uiPriority w:val="99"/>
    <w:rsid w:val="00457587"/>
    <w:pPr>
      <w:numPr>
        <w:numId w:val="10"/>
      </w:numPr>
    </w:pPr>
  </w:style>
  <w:style w:type="paragraph" w:customStyle="1" w:styleId="BulletNumbers">
    <w:name w:val="Bullet Numbers"/>
    <w:basedOn w:val="bulletsnumbers"/>
    <w:qFormat/>
    <w:rsid w:val="00457587"/>
    <w:pPr>
      <w:numPr>
        <w:numId w:val="9"/>
      </w:numPr>
    </w:pPr>
  </w:style>
  <w:style w:type="paragraph" w:customStyle="1" w:styleId="Highlight">
    <w:name w:val="Highlight"/>
    <w:basedOn w:val="Normal"/>
    <w:qFormat/>
    <w:rsid w:val="000746A4"/>
    <w:pPr>
      <w:jc w:val="center"/>
    </w:pPr>
    <w:rPr>
      <w:b/>
      <w:bCs/>
      <w:color w:val="FFFFFF" w:themeColor="background1"/>
      <w:sz w:val="36"/>
      <w:szCs w:val="36"/>
    </w:rPr>
  </w:style>
  <w:style w:type="table" w:styleId="TableGrid">
    <w:name w:val="Table Grid"/>
    <w:basedOn w:val="TableNormal"/>
    <w:uiPriority w:val="39"/>
    <w:rsid w:val="00074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551F5"/>
    <w:pPr>
      <w:tabs>
        <w:tab w:val="center" w:pos="4513"/>
        <w:tab w:val="right" w:pos="9026"/>
      </w:tabs>
    </w:pPr>
  </w:style>
  <w:style w:type="character" w:customStyle="1" w:styleId="FooterChar">
    <w:name w:val="Footer Char"/>
    <w:basedOn w:val="DefaultParagraphFont"/>
    <w:link w:val="Footer"/>
    <w:uiPriority w:val="99"/>
    <w:rsid w:val="003551F5"/>
  </w:style>
  <w:style w:type="paragraph" w:styleId="NoSpacing">
    <w:name w:val="No Spacing"/>
    <w:link w:val="NoSpacingChar"/>
    <w:uiPriority w:val="1"/>
    <w:qFormat/>
    <w:rsid w:val="0059518D"/>
    <w:rPr>
      <w:rFonts w:eastAsiaTheme="minorEastAsia"/>
      <w:sz w:val="22"/>
      <w:szCs w:val="22"/>
      <w:lang w:val="en-US" w:eastAsia="zh-CN"/>
    </w:rPr>
  </w:style>
  <w:style w:type="character" w:customStyle="1" w:styleId="NoSpacingChar">
    <w:name w:val="No Spacing Char"/>
    <w:basedOn w:val="DefaultParagraphFont"/>
    <w:link w:val="NoSpacing"/>
    <w:uiPriority w:val="1"/>
    <w:rsid w:val="0059518D"/>
    <w:rPr>
      <w:rFonts w:eastAsiaTheme="minorEastAsia"/>
      <w:sz w:val="22"/>
      <w:szCs w:val="22"/>
      <w:lang w:val="en-US" w:eastAsia="zh-CN"/>
    </w:rPr>
  </w:style>
  <w:style w:type="paragraph" w:customStyle="1" w:styleId="SubHeading2">
    <w:name w:val="Sub Heading 2"/>
    <w:basedOn w:val="SubHeading1"/>
    <w:qFormat/>
    <w:rsid w:val="000746A4"/>
    <w:rPr>
      <w:color w:val="3A5384"/>
      <w:sz w:val="28"/>
    </w:rPr>
  </w:style>
  <w:style w:type="paragraph" w:customStyle="1" w:styleId="Heading">
    <w:name w:val="Heading"/>
    <w:basedOn w:val="Normal"/>
    <w:qFormat/>
    <w:rsid w:val="007F1862"/>
    <w:rPr>
      <w:rFonts w:ascii="Verdana" w:hAnsi="Verdana"/>
      <w:b/>
      <w:bCs/>
      <w:color w:val="FFFFFF" w:themeColor="background1"/>
      <w:szCs w:val="34"/>
    </w:rPr>
  </w:style>
  <w:style w:type="table" w:customStyle="1" w:styleId="TableStyle1">
    <w:name w:val="Table Style 1"/>
    <w:basedOn w:val="TableNormal"/>
    <w:uiPriority w:val="99"/>
    <w:rsid w:val="00E5761E"/>
    <w:tblPr/>
  </w:style>
  <w:style w:type="paragraph" w:customStyle="1" w:styleId="pullquote0">
    <w:name w:val="pull quote"/>
    <w:basedOn w:val="Normal"/>
    <w:uiPriority w:val="99"/>
    <w:rsid w:val="00F053AC"/>
    <w:pPr>
      <w:suppressAutoHyphens/>
      <w:autoSpaceDE w:val="0"/>
      <w:autoSpaceDN w:val="0"/>
      <w:adjustRightInd w:val="0"/>
      <w:spacing w:after="113" w:line="480" w:lineRule="atLeast"/>
      <w:jc w:val="center"/>
      <w:textAlignment w:val="center"/>
    </w:pPr>
    <w:rPr>
      <w:rFonts w:ascii="Ubuntu" w:hAnsi="Ubuntu" w:cs="Ubuntu"/>
      <w:b/>
      <w:bCs/>
      <w:color w:val="FFFFFF"/>
      <w:sz w:val="36"/>
      <w:szCs w:val="36"/>
    </w:rPr>
  </w:style>
  <w:style w:type="table" w:customStyle="1" w:styleId="Style1">
    <w:name w:val="Style1"/>
    <w:basedOn w:val="TableNormal"/>
    <w:uiPriority w:val="99"/>
    <w:rsid w:val="004A0001"/>
    <w:rPr>
      <w:rFonts w:ascii="Arial" w:hAnsi="Arial"/>
    </w:rPr>
    <w:tblPr/>
  </w:style>
  <w:style w:type="paragraph" w:styleId="Header">
    <w:name w:val="header"/>
    <w:basedOn w:val="Normal"/>
    <w:link w:val="HeaderChar"/>
    <w:uiPriority w:val="99"/>
    <w:unhideWhenUsed/>
    <w:rsid w:val="009A152E"/>
    <w:pPr>
      <w:tabs>
        <w:tab w:val="center" w:pos="4513"/>
        <w:tab w:val="right" w:pos="9026"/>
      </w:tabs>
    </w:pPr>
  </w:style>
  <w:style w:type="character" w:customStyle="1" w:styleId="HeaderChar">
    <w:name w:val="Header Char"/>
    <w:basedOn w:val="DefaultParagraphFont"/>
    <w:link w:val="Header"/>
    <w:uiPriority w:val="99"/>
    <w:rsid w:val="009A152E"/>
  </w:style>
  <w:style w:type="character" w:customStyle="1" w:styleId="Heading1Char">
    <w:name w:val="Heading 1 Char"/>
    <w:basedOn w:val="DefaultParagraphFont"/>
    <w:link w:val="Heading1"/>
    <w:uiPriority w:val="9"/>
    <w:rsid w:val="00D33918"/>
    <w:rPr>
      <w:rFonts w:ascii="Verdana" w:eastAsia="Calibri" w:hAnsi="Verdana" w:cstheme="majorBidi"/>
      <w:b/>
      <w:sz w:val="28"/>
      <w:szCs w:val="32"/>
    </w:rPr>
  </w:style>
  <w:style w:type="character" w:customStyle="1" w:styleId="Heading2Char">
    <w:name w:val="Heading 2 Char"/>
    <w:basedOn w:val="DefaultParagraphFont"/>
    <w:link w:val="Heading2"/>
    <w:uiPriority w:val="9"/>
    <w:rsid w:val="00D5215C"/>
    <w:rPr>
      <w:rFonts w:ascii="Verdana" w:eastAsiaTheme="majorEastAsia" w:hAnsi="Verdana" w:cstheme="majorBidi"/>
      <w:b/>
      <w:color w:val="FFFFFF" w:themeColor="background1"/>
      <w:sz w:val="22"/>
      <w:szCs w:val="26"/>
    </w:rPr>
  </w:style>
  <w:style w:type="paragraph" w:styleId="ListParagraph">
    <w:name w:val="List Paragraph"/>
    <w:basedOn w:val="Normal"/>
    <w:link w:val="ListParagraphChar"/>
    <w:uiPriority w:val="34"/>
    <w:qFormat/>
    <w:rsid w:val="00E20281"/>
    <w:pPr>
      <w:spacing w:after="200" w:line="276" w:lineRule="auto"/>
      <w:ind w:left="720"/>
      <w:contextualSpacing/>
    </w:pPr>
    <w:rPr>
      <w:sz w:val="22"/>
      <w:szCs w:val="22"/>
    </w:rPr>
  </w:style>
  <w:style w:type="character" w:styleId="Hyperlink">
    <w:name w:val="Hyperlink"/>
    <w:basedOn w:val="DefaultParagraphFont"/>
    <w:uiPriority w:val="99"/>
    <w:unhideWhenUsed/>
    <w:rsid w:val="00E20281"/>
    <w:rPr>
      <w:color w:val="0563C1" w:themeColor="hyperlink"/>
      <w:u w:val="single"/>
    </w:rPr>
  </w:style>
  <w:style w:type="character" w:customStyle="1" w:styleId="ListParagraphChar">
    <w:name w:val="List Paragraph Char"/>
    <w:basedOn w:val="DefaultParagraphFont"/>
    <w:link w:val="ListParagraph"/>
    <w:uiPriority w:val="34"/>
    <w:rsid w:val="00E20281"/>
    <w:rPr>
      <w:sz w:val="22"/>
      <w:szCs w:val="22"/>
    </w:rPr>
  </w:style>
  <w:style w:type="character" w:styleId="CommentReference">
    <w:name w:val="annotation reference"/>
    <w:basedOn w:val="DefaultParagraphFont"/>
    <w:uiPriority w:val="99"/>
    <w:semiHidden/>
    <w:unhideWhenUsed/>
    <w:rsid w:val="00E20281"/>
    <w:rPr>
      <w:sz w:val="16"/>
      <w:szCs w:val="16"/>
    </w:rPr>
  </w:style>
  <w:style w:type="paragraph" w:styleId="CommentText">
    <w:name w:val="annotation text"/>
    <w:basedOn w:val="Normal"/>
    <w:link w:val="CommentTextChar"/>
    <w:uiPriority w:val="99"/>
    <w:semiHidden/>
    <w:unhideWhenUsed/>
    <w:rsid w:val="00E20281"/>
    <w:pPr>
      <w:spacing w:after="160"/>
    </w:pPr>
    <w:rPr>
      <w:sz w:val="20"/>
      <w:szCs w:val="20"/>
    </w:rPr>
  </w:style>
  <w:style w:type="character" w:customStyle="1" w:styleId="CommentTextChar">
    <w:name w:val="Comment Text Char"/>
    <w:basedOn w:val="DefaultParagraphFont"/>
    <w:link w:val="CommentText"/>
    <w:uiPriority w:val="99"/>
    <w:semiHidden/>
    <w:rsid w:val="00E20281"/>
    <w:rPr>
      <w:sz w:val="20"/>
      <w:szCs w:val="20"/>
    </w:rPr>
  </w:style>
  <w:style w:type="paragraph" w:styleId="BalloonText">
    <w:name w:val="Balloon Text"/>
    <w:basedOn w:val="Normal"/>
    <w:link w:val="BalloonTextChar"/>
    <w:uiPriority w:val="99"/>
    <w:semiHidden/>
    <w:unhideWhenUsed/>
    <w:rsid w:val="00E202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281"/>
    <w:rPr>
      <w:rFonts w:ascii="Segoe UI" w:hAnsi="Segoe UI" w:cs="Segoe UI"/>
      <w:sz w:val="18"/>
      <w:szCs w:val="18"/>
    </w:rPr>
  </w:style>
  <w:style w:type="table" w:styleId="GridTable4-Accent1">
    <w:name w:val="Grid Table 4 Accent 1"/>
    <w:basedOn w:val="TableNormal"/>
    <w:uiPriority w:val="49"/>
    <w:rsid w:val="00E20281"/>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Grid1">
    <w:name w:val="Table Grid1"/>
    <w:basedOn w:val="TableNormal"/>
    <w:next w:val="TableGrid"/>
    <w:uiPriority w:val="59"/>
    <w:rsid w:val="00E2028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20281"/>
    <w:pPr>
      <w:spacing w:after="200"/>
    </w:pPr>
    <w:rPr>
      <w:b/>
      <w:bCs/>
    </w:rPr>
  </w:style>
  <w:style w:type="character" w:customStyle="1" w:styleId="CommentSubjectChar">
    <w:name w:val="Comment Subject Char"/>
    <w:basedOn w:val="CommentTextChar"/>
    <w:link w:val="CommentSubject"/>
    <w:uiPriority w:val="99"/>
    <w:semiHidden/>
    <w:rsid w:val="00E20281"/>
    <w:rPr>
      <w:b/>
      <w:bCs/>
      <w:sz w:val="20"/>
      <w:szCs w:val="20"/>
    </w:rPr>
  </w:style>
  <w:style w:type="paragraph" w:styleId="TOCHeading">
    <w:name w:val="TOC Heading"/>
    <w:basedOn w:val="Heading1"/>
    <w:next w:val="Normal"/>
    <w:uiPriority w:val="39"/>
    <w:unhideWhenUsed/>
    <w:qFormat/>
    <w:rsid w:val="00E20281"/>
    <w:pPr>
      <w:spacing w:line="259" w:lineRule="auto"/>
      <w:outlineLvl w:val="9"/>
    </w:pPr>
    <w:rPr>
      <w:rFonts w:asciiTheme="majorHAnsi" w:hAnsiTheme="majorHAnsi"/>
      <w:sz w:val="32"/>
      <w:lang w:val="en-US"/>
    </w:rPr>
  </w:style>
  <w:style w:type="paragraph" w:styleId="TOC1">
    <w:name w:val="toc 1"/>
    <w:basedOn w:val="Normal"/>
    <w:next w:val="Normal"/>
    <w:autoRedefine/>
    <w:uiPriority w:val="39"/>
    <w:unhideWhenUsed/>
    <w:rsid w:val="00F4611A"/>
    <w:pPr>
      <w:tabs>
        <w:tab w:val="left" w:pos="440"/>
        <w:tab w:val="right" w:leader="dot" w:pos="9639"/>
      </w:tabs>
      <w:spacing w:before="240" w:line="276" w:lineRule="auto"/>
      <w:ind w:right="827"/>
    </w:pPr>
    <w:rPr>
      <w:rFonts w:ascii="Verdana" w:hAnsi="Verdana" w:cs="Arial"/>
      <w:noProof/>
      <w:szCs w:val="22"/>
    </w:rPr>
  </w:style>
  <w:style w:type="paragraph" w:styleId="Revision">
    <w:name w:val="Revision"/>
    <w:hidden/>
    <w:uiPriority w:val="99"/>
    <w:semiHidden/>
    <w:rsid w:val="00E20281"/>
    <w:rPr>
      <w:sz w:val="22"/>
      <w:szCs w:val="22"/>
    </w:rPr>
  </w:style>
  <w:style w:type="character" w:styleId="FollowedHyperlink">
    <w:name w:val="FollowedHyperlink"/>
    <w:basedOn w:val="DefaultParagraphFont"/>
    <w:uiPriority w:val="99"/>
    <w:semiHidden/>
    <w:unhideWhenUsed/>
    <w:rsid w:val="00E20281"/>
    <w:rPr>
      <w:color w:val="954F72" w:themeColor="followedHyperlink"/>
      <w:u w:val="single"/>
    </w:rPr>
  </w:style>
  <w:style w:type="character" w:styleId="Strong">
    <w:name w:val="Strong"/>
    <w:basedOn w:val="DefaultParagraphFont"/>
    <w:uiPriority w:val="22"/>
    <w:qFormat/>
    <w:rsid w:val="00E20281"/>
    <w:rPr>
      <w:b/>
      <w:bCs/>
    </w:rPr>
  </w:style>
  <w:style w:type="character" w:styleId="Emphasis">
    <w:name w:val="Emphasis"/>
    <w:basedOn w:val="DefaultParagraphFont"/>
    <w:uiPriority w:val="20"/>
    <w:qFormat/>
    <w:rsid w:val="00B967EC"/>
    <w:rPr>
      <w:i/>
      <w:iCs/>
    </w:rPr>
  </w:style>
  <w:style w:type="table" w:customStyle="1" w:styleId="TableGrid2">
    <w:name w:val="Table Grid2"/>
    <w:basedOn w:val="TableNormal"/>
    <w:next w:val="TableGrid"/>
    <w:uiPriority w:val="39"/>
    <w:rsid w:val="007F7C0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7719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7673C5"/>
    <w:pPr>
      <w:tabs>
        <w:tab w:val="right" w:leader="dot" w:pos="9639"/>
      </w:tabs>
      <w:spacing w:line="360" w:lineRule="auto"/>
      <w:ind w:left="709" w:right="827" w:hanging="426"/>
    </w:pPr>
    <w:rPr>
      <w:rFonts w:ascii="Arial" w:hAnsi="Arial" w:cs="Times New Roman (Body CS)"/>
      <w:sz w:val="20"/>
      <w:szCs w:val="20"/>
    </w:rPr>
  </w:style>
  <w:style w:type="paragraph" w:styleId="TOC3">
    <w:name w:val="toc 3"/>
    <w:basedOn w:val="Normal"/>
    <w:next w:val="Normal"/>
    <w:autoRedefine/>
    <w:uiPriority w:val="39"/>
    <w:unhideWhenUsed/>
    <w:rsid w:val="00D124FD"/>
    <w:pPr>
      <w:spacing w:after="100" w:line="259" w:lineRule="auto"/>
      <w:ind w:left="440"/>
    </w:pPr>
    <w:rPr>
      <w:rFonts w:eastAsiaTheme="minorEastAsia" w:cs="Times New Roman"/>
      <w:sz w:val="22"/>
      <w:szCs w:val="22"/>
      <w:lang w:val="en-US"/>
    </w:rPr>
  </w:style>
  <w:style w:type="paragraph" w:styleId="Title">
    <w:name w:val="Title"/>
    <w:basedOn w:val="Normal"/>
    <w:next w:val="Normal"/>
    <w:link w:val="TitleChar"/>
    <w:uiPriority w:val="10"/>
    <w:qFormat/>
    <w:rsid w:val="001C408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4080"/>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592D11"/>
    <w:rPr>
      <w:color w:val="605E5C"/>
      <w:shd w:val="clear" w:color="auto" w:fill="E1DFDD"/>
    </w:rPr>
  </w:style>
  <w:style w:type="paragraph" w:styleId="NormalWeb">
    <w:name w:val="Normal (Web)"/>
    <w:basedOn w:val="Normal"/>
    <w:uiPriority w:val="99"/>
    <w:unhideWhenUsed/>
    <w:rsid w:val="00592D11"/>
    <w:pPr>
      <w:spacing w:before="100" w:beforeAutospacing="1" w:after="100" w:afterAutospacing="1"/>
    </w:pPr>
    <w:rPr>
      <w:rFonts w:ascii="Times New Roman" w:eastAsia="Times New Roman" w:hAnsi="Times New Roman" w:cs="Times New Roman"/>
      <w:lang w:eastAsia="en-GB"/>
    </w:rPr>
  </w:style>
  <w:style w:type="paragraph" w:customStyle="1" w:styleId="alert">
    <w:name w:val="alert"/>
    <w:basedOn w:val="Normal"/>
    <w:rsid w:val="00DA1165"/>
    <w:pPr>
      <w:spacing w:before="100" w:beforeAutospacing="1" w:after="100" w:afterAutospacing="1"/>
    </w:pPr>
    <w:rPr>
      <w:rFonts w:ascii="Times New Roman" w:eastAsia="Times New Roman" w:hAnsi="Times New Roman" w:cs="Times New Roman"/>
      <w:lang w:eastAsia="en-GB"/>
    </w:rPr>
  </w:style>
  <w:style w:type="paragraph" w:customStyle="1" w:styleId="paragraph">
    <w:name w:val="paragraph"/>
    <w:basedOn w:val="Normal"/>
    <w:rsid w:val="007F5A47"/>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7F5A47"/>
  </w:style>
  <w:style w:type="character" w:customStyle="1" w:styleId="eop">
    <w:name w:val="eop"/>
    <w:basedOn w:val="DefaultParagraphFont"/>
    <w:rsid w:val="007F5A47"/>
  </w:style>
  <w:style w:type="character" w:customStyle="1" w:styleId="UnresolvedMention">
    <w:name w:val="Unresolved Mention"/>
    <w:basedOn w:val="DefaultParagraphFont"/>
    <w:uiPriority w:val="99"/>
    <w:semiHidden/>
    <w:unhideWhenUsed/>
    <w:rsid w:val="00AA1D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650083">
      <w:bodyDiv w:val="1"/>
      <w:marLeft w:val="0"/>
      <w:marRight w:val="0"/>
      <w:marTop w:val="0"/>
      <w:marBottom w:val="0"/>
      <w:divBdr>
        <w:top w:val="none" w:sz="0" w:space="0" w:color="auto"/>
        <w:left w:val="none" w:sz="0" w:space="0" w:color="auto"/>
        <w:bottom w:val="none" w:sz="0" w:space="0" w:color="auto"/>
        <w:right w:val="none" w:sz="0" w:space="0" w:color="auto"/>
      </w:divBdr>
    </w:div>
    <w:div w:id="291012015">
      <w:bodyDiv w:val="1"/>
      <w:marLeft w:val="0"/>
      <w:marRight w:val="0"/>
      <w:marTop w:val="0"/>
      <w:marBottom w:val="0"/>
      <w:divBdr>
        <w:top w:val="none" w:sz="0" w:space="0" w:color="auto"/>
        <w:left w:val="none" w:sz="0" w:space="0" w:color="auto"/>
        <w:bottom w:val="none" w:sz="0" w:space="0" w:color="auto"/>
        <w:right w:val="none" w:sz="0" w:space="0" w:color="auto"/>
      </w:divBdr>
    </w:div>
    <w:div w:id="376126691">
      <w:bodyDiv w:val="1"/>
      <w:marLeft w:val="0"/>
      <w:marRight w:val="0"/>
      <w:marTop w:val="0"/>
      <w:marBottom w:val="0"/>
      <w:divBdr>
        <w:top w:val="none" w:sz="0" w:space="0" w:color="auto"/>
        <w:left w:val="none" w:sz="0" w:space="0" w:color="auto"/>
        <w:bottom w:val="none" w:sz="0" w:space="0" w:color="auto"/>
        <w:right w:val="none" w:sz="0" w:space="0" w:color="auto"/>
      </w:divBdr>
      <w:divsChild>
        <w:div w:id="893152729">
          <w:marLeft w:val="0"/>
          <w:marRight w:val="0"/>
          <w:marTop w:val="0"/>
          <w:marBottom w:val="0"/>
          <w:divBdr>
            <w:top w:val="none" w:sz="0" w:space="0" w:color="auto"/>
            <w:left w:val="none" w:sz="0" w:space="0" w:color="auto"/>
            <w:bottom w:val="none" w:sz="0" w:space="0" w:color="auto"/>
            <w:right w:val="none" w:sz="0" w:space="0" w:color="auto"/>
          </w:divBdr>
        </w:div>
        <w:div w:id="1049381969">
          <w:marLeft w:val="0"/>
          <w:marRight w:val="0"/>
          <w:marTop w:val="0"/>
          <w:marBottom w:val="0"/>
          <w:divBdr>
            <w:top w:val="none" w:sz="0" w:space="0" w:color="auto"/>
            <w:left w:val="none" w:sz="0" w:space="0" w:color="auto"/>
            <w:bottom w:val="none" w:sz="0" w:space="0" w:color="auto"/>
            <w:right w:val="none" w:sz="0" w:space="0" w:color="auto"/>
          </w:divBdr>
        </w:div>
        <w:div w:id="1754350073">
          <w:marLeft w:val="0"/>
          <w:marRight w:val="0"/>
          <w:marTop w:val="0"/>
          <w:marBottom w:val="0"/>
          <w:divBdr>
            <w:top w:val="none" w:sz="0" w:space="0" w:color="auto"/>
            <w:left w:val="none" w:sz="0" w:space="0" w:color="auto"/>
            <w:bottom w:val="none" w:sz="0" w:space="0" w:color="auto"/>
            <w:right w:val="none" w:sz="0" w:space="0" w:color="auto"/>
          </w:divBdr>
        </w:div>
        <w:div w:id="427193736">
          <w:marLeft w:val="0"/>
          <w:marRight w:val="0"/>
          <w:marTop w:val="0"/>
          <w:marBottom w:val="0"/>
          <w:divBdr>
            <w:top w:val="none" w:sz="0" w:space="0" w:color="auto"/>
            <w:left w:val="none" w:sz="0" w:space="0" w:color="auto"/>
            <w:bottom w:val="none" w:sz="0" w:space="0" w:color="auto"/>
            <w:right w:val="none" w:sz="0" w:space="0" w:color="auto"/>
          </w:divBdr>
        </w:div>
      </w:divsChild>
    </w:div>
    <w:div w:id="403449964">
      <w:bodyDiv w:val="1"/>
      <w:marLeft w:val="0"/>
      <w:marRight w:val="0"/>
      <w:marTop w:val="0"/>
      <w:marBottom w:val="0"/>
      <w:divBdr>
        <w:top w:val="none" w:sz="0" w:space="0" w:color="auto"/>
        <w:left w:val="none" w:sz="0" w:space="0" w:color="auto"/>
        <w:bottom w:val="none" w:sz="0" w:space="0" w:color="auto"/>
        <w:right w:val="none" w:sz="0" w:space="0" w:color="auto"/>
      </w:divBdr>
      <w:divsChild>
        <w:div w:id="1368681770">
          <w:marLeft w:val="0"/>
          <w:marRight w:val="0"/>
          <w:marTop w:val="0"/>
          <w:marBottom w:val="0"/>
          <w:divBdr>
            <w:top w:val="none" w:sz="0" w:space="0" w:color="auto"/>
            <w:left w:val="none" w:sz="0" w:space="0" w:color="auto"/>
            <w:bottom w:val="none" w:sz="0" w:space="0" w:color="auto"/>
            <w:right w:val="none" w:sz="0" w:space="0" w:color="auto"/>
          </w:divBdr>
        </w:div>
        <w:div w:id="203565223">
          <w:marLeft w:val="0"/>
          <w:marRight w:val="0"/>
          <w:marTop w:val="0"/>
          <w:marBottom w:val="0"/>
          <w:divBdr>
            <w:top w:val="none" w:sz="0" w:space="0" w:color="auto"/>
            <w:left w:val="none" w:sz="0" w:space="0" w:color="auto"/>
            <w:bottom w:val="none" w:sz="0" w:space="0" w:color="auto"/>
            <w:right w:val="none" w:sz="0" w:space="0" w:color="auto"/>
          </w:divBdr>
        </w:div>
        <w:div w:id="641469120">
          <w:marLeft w:val="0"/>
          <w:marRight w:val="0"/>
          <w:marTop w:val="0"/>
          <w:marBottom w:val="0"/>
          <w:divBdr>
            <w:top w:val="none" w:sz="0" w:space="0" w:color="auto"/>
            <w:left w:val="none" w:sz="0" w:space="0" w:color="auto"/>
            <w:bottom w:val="none" w:sz="0" w:space="0" w:color="auto"/>
            <w:right w:val="none" w:sz="0" w:space="0" w:color="auto"/>
          </w:divBdr>
        </w:div>
        <w:div w:id="1686321903">
          <w:marLeft w:val="0"/>
          <w:marRight w:val="0"/>
          <w:marTop w:val="0"/>
          <w:marBottom w:val="0"/>
          <w:divBdr>
            <w:top w:val="none" w:sz="0" w:space="0" w:color="auto"/>
            <w:left w:val="none" w:sz="0" w:space="0" w:color="auto"/>
            <w:bottom w:val="none" w:sz="0" w:space="0" w:color="auto"/>
            <w:right w:val="none" w:sz="0" w:space="0" w:color="auto"/>
          </w:divBdr>
        </w:div>
        <w:div w:id="255678417">
          <w:marLeft w:val="0"/>
          <w:marRight w:val="0"/>
          <w:marTop w:val="0"/>
          <w:marBottom w:val="0"/>
          <w:divBdr>
            <w:top w:val="none" w:sz="0" w:space="0" w:color="auto"/>
            <w:left w:val="none" w:sz="0" w:space="0" w:color="auto"/>
            <w:bottom w:val="none" w:sz="0" w:space="0" w:color="auto"/>
            <w:right w:val="none" w:sz="0" w:space="0" w:color="auto"/>
          </w:divBdr>
        </w:div>
        <w:div w:id="131755146">
          <w:marLeft w:val="0"/>
          <w:marRight w:val="0"/>
          <w:marTop w:val="0"/>
          <w:marBottom w:val="0"/>
          <w:divBdr>
            <w:top w:val="none" w:sz="0" w:space="0" w:color="auto"/>
            <w:left w:val="none" w:sz="0" w:space="0" w:color="auto"/>
            <w:bottom w:val="none" w:sz="0" w:space="0" w:color="auto"/>
            <w:right w:val="none" w:sz="0" w:space="0" w:color="auto"/>
          </w:divBdr>
        </w:div>
      </w:divsChild>
    </w:div>
    <w:div w:id="672997644">
      <w:bodyDiv w:val="1"/>
      <w:marLeft w:val="0"/>
      <w:marRight w:val="0"/>
      <w:marTop w:val="0"/>
      <w:marBottom w:val="0"/>
      <w:divBdr>
        <w:top w:val="none" w:sz="0" w:space="0" w:color="auto"/>
        <w:left w:val="none" w:sz="0" w:space="0" w:color="auto"/>
        <w:bottom w:val="none" w:sz="0" w:space="0" w:color="auto"/>
        <w:right w:val="none" w:sz="0" w:space="0" w:color="auto"/>
      </w:divBdr>
    </w:div>
    <w:div w:id="734157437">
      <w:bodyDiv w:val="1"/>
      <w:marLeft w:val="0"/>
      <w:marRight w:val="0"/>
      <w:marTop w:val="0"/>
      <w:marBottom w:val="0"/>
      <w:divBdr>
        <w:top w:val="none" w:sz="0" w:space="0" w:color="auto"/>
        <w:left w:val="none" w:sz="0" w:space="0" w:color="auto"/>
        <w:bottom w:val="none" w:sz="0" w:space="0" w:color="auto"/>
        <w:right w:val="none" w:sz="0" w:space="0" w:color="auto"/>
      </w:divBdr>
    </w:div>
    <w:div w:id="741870820">
      <w:bodyDiv w:val="1"/>
      <w:marLeft w:val="0"/>
      <w:marRight w:val="0"/>
      <w:marTop w:val="0"/>
      <w:marBottom w:val="0"/>
      <w:divBdr>
        <w:top w:val="none" w:sz="0" w:space="0" w:color="auto"/>
        <w:left w:val="none" w:sz="0" w:space="0" w:color="auto"/>
        <w:bottom w:val="none" w:sz="0" w:space="0" w:color="auto"/>
        <w:right w:val="none" w:sz="0" w:space="0" w:color="auto"/>
      </w:divBdr>
    </w:div>
    <w:div w:id="744955776">
      <w:bodyDiv w:val="1"/>
      <w:marLeft w:val="0"/>
      <w:marRight w:val="0"/>
      <w:marTop w:val="0"/>
      <w:marBottom w:val="0"/>
      <w:divBdr>
        <w:top w:val="none" w:sz="0" w:space="0" w:color="auto"/>
        <w:left w:val="none" w:sz="0" w:space="0" w:color="auto"/>
        <w:bottom w:val="none" w:sz="0" w:space="0" w:color="auto"/>
        <w:right w:val="none" w:sz="0" w:space="0" w:color="auto"/>
      </w:divBdr>
    </w:div>
    <w:div w:id="856583485">
      <w:bodyDiv w:val="1"/>
      <w:marLeft w:val="0"/>
      <w:marRight w:val="0"/>
      <w:marTop w:val="0"/>
      <w:marBottom w:val="0"/>
      <w:divBdr>
        <w:top w:val="none" w:sz="0" w:space="0" w:color="auto"/>
        <w:left w:val="none" w:sz="0" w:space="0" w:color="auto"/>
        <w:bottom w:val="none" w:sz="0" w:space="0" w:color="auto"/>
        <w:right w:val="none" w:sz="0" w:space="0" w:color="auto"/>
      </w:divBdr>
    </w:div>
    <w:div w:id="966473628">
      <w:bodyDiv w:val="1"/>
      <w:marLeft w:val="0"/>
      <w:marRight w:val="0"/>
      <w:marTop w:val="0"/>
      <w:marBottom w:val="0"/>
      <w:divBdr>
        <w:top w:val="none" w:sz="0" w:space="0" w:color="auto"/>
        <w:left w:val="none" w:sz="0" w:space="0" w:color="auto"/>
        <w:bottom w:val="none" w:sz="0" w:space="0" w:color="auto"/>
        <w:right w:val="none" w:sz="0" w:space="0" w:color="auto"/>
      </w:divBdr>
      <w:divsChild>
        <w:div w:id="1809978527">
          <w:marLeft w:val="0"/>
          <w:marRight w:val="0"/>
          <w:marTop w:val="0"/>
          <w:marBottom w:val="0"/>
          <w:divBdr>
            <w:top w:val="none" w:sz="0" w:space="0" w:color="auto"/>
            <w:left w:val="none" w:sz="0" w:space="0" w:color="auto"/>
            <w:bottom w:val="none" w:sz="0" w:space="0" w:color="auto"/>
            <w:right w:val="none" w:sz="0" w:space="0" w:color="auto"/>
          </w:divBdr>
        </w:div>
        <w:div w:id="494031629">
          <w:marLeft w:val="0"/>
          <w:marRight w:val="0"/>
          <w:marTop w:val="0"/>
          <w:marBottom w:val="0"/>
          <w:divBdr>
            <w:top w:val="none" w:sz="0" w:space="0" w:color="auto"/>
            <w:left w:val="none" w:sz="0" w:space="0" w:color="auto"/>
            <w:bottom w:val="none" w:sz="0" w:space="0" w:color="auto"/>
            <w:right w:val="none" w:sz="0" w:space="0" w:color="auto"/>
          </w:divBdr>
        </w:div>
        <w:div w:id="664088509">
          <w:marLeft w:val="0"/>
          <w:marRight w:val="0"/>
          <w:marTop w:val="0"/>
          <w:marBottom w:val="0"/>
          <w:divBdr>
            <w:top w:val="none" w:sz="0" w:space="0" w:color="auto"/>
            <w:left w:val="none" w:sz="0" w:space="0" w:color="auto"/>
            <w:bottom w:val="none" w:sz="0" w:space="0" w:color="auto"/>
            <w:right w:val="none" w:sz="0" w:space="0" w:color="auto"/>
          </w:divBdr>
        </w:div>
        <w:div w:id="62870689">
          <w:marLeft w:val="0"/>
          <w:marRight w:val="0"/>
          <w:marTop w:val="0"/>
          <w:marBottom w:val="0"/>
          <w:divBdr>
            <w:top w:val="none" w:sz="0" w:space="0" w:color="auto"/>
            <w:left w:val="none" w:sz="0" w:space="0" w:color="auto"/>
            <w:bottom w:val="none" w:sz="0" w:space="0" w:color="auto"/>
            <w:right w:val="none" w:sz="0" w:space="0" w:color="auto"/>
          </w:divBdr>
        </w:div>
        <w:div w:id="982927128">
          <w:marLeft w:val="0"/>
          <w:marRight w:val="0"/>
          <w:marTop w:val="0"/>
          <w:marBottom w:val="0"/>
          <w:divBdr>
            <w:top w:val="none" w:sz="0" w:space="0" w:color="auto"/>
            <w:left w:val="none" w:sz="0" w:space="0" w:color="auto"/>
            <w:bottom w:val="none" w:sz="0" w:space="0" w:color="auto"/>
            <w:right w:val="none" w:sz="0" w:space="0" w:color="auto"/>
          </w:divBdr>
        </w:div>
        <w:div w:id="2130276208">
          <w:marLeft w:val="0"/>
          <w:marRight w:val="0"/>
          <w:marTop w:val="0"/>
          <w:marBottom w:val="0"/>
          <w:divBdr>
            <w:top w:val="none" w:sz="0" w:space="0" w:color="auto"/>
            <w:left w:val="none" w:sz="0" w:space="0" w:color="auto"/>
            <w:bottom w:val="none" w:sz="0" w:space="0" w:color="auto"/>
            <w:right w:val="none" w:sz="0" w:space="0" w:color="auto"/>
          </w:divBdr>
        </w:div>
      </w:divsChild>
    </w:div>
    <w:div w:id="1174224824">
      <w:bodyDiv w:val="1"/>
      <w:marLeft w:val="0"/>
      <w:marRight w:val="0"/>
      <w:marTop w:val="0"/>
      <w:marBottom w:val="0"/>
      <w:divBdr>
        <w:top w:val="none" w:sz="0" w:space="0" w:color="auto"/>
        <w:left w:val="none" w:sz="0" w:space="0" w:color="auto"/>
        <w:bottom w:val="none" w:sz="0" w:space="0" w:color="auto"/>
        <w:right w:val="none" w:sz="0" w:space="0" w:color="auto"/>
      </w:divBdr>
    </w:div>
    <w:div w:id="1530530945">
      <w:bodyDiv w:val="1"/>
      <w:marLeft w:val="0"/>
      <w:marRight w:val="0"/>
      <w:marTop w:val="0"/>
      <w:marBottom w:val="0"/>
      <w:divBdr>
        <w:top w:val="none" w:sz="0" w:space="0" w:color="auto"/>
        <w:left w:val="none" w:sz="0" w:space="0" w:color="auto"/>
        <w:bottom w:val="none" w:sz="0" w:space="0" w:color="auto"/>
        <w:right w:val="none" w:sz="0" w:space="0" w:color="auto"/>
      </w:divBdr>
    </w:div>
    <w:div w:id="1684287341">
      <w:bodyDiv w:val="1"/>
      <w:marLeft w:val="0"/>
      <w:marRight w:val="0"/>
      <w:marTop w:val="0"/>
      <w:marBottom w:val="0"/>
      <w:divBdr>
        <w:top w:val="none" w:sz="0" w:space="0" w:color="auto"/>
        <w:left w:val="none" w:sz="0" w:space="0" w:color="auto"/>
        <w:bottom w:val="none" w:sz="0" w:space="0" w:color="auto"/>
        <w:right w:val="none" w:sz="0" w:space="0" w:color="auto"/>
      </w:divBdr>
    </w:div>
    <w:div w:id="1687243397">
      <w:bodyDiv w:val="1"/>
      <w:marLeft w:val="0"/>
      <w:marRight w:val="0"/>
      <w:marTop w:val="0"/>
      <w:marBottom w:val="0"/>
      <w:divBdr>
        <w:top w:val="none" w:sz="0" w:space="0" w:color="auto"/>
        <w:left w:val="none" w:sz="0" w:space="0" w:color="auto"/>
        <w:bottom w:val="none" w:sz="0" w:space="0" w:color="auto"/>
        <w:right w:val="none" w:sz="0" w:space="0" w:color="auto"/>
      </w:divBdr>
    </w:div>
    <w:div w:id="1770153889">
      <w:bodyDiv w:val="1"/>
      <w:marLeft w:val="0"/>
      <w:marRight w:val="0"/>
      <w:marTop w:val="0"/>
      <w:marBottom w:val="0"/>
      <w:divBdr>
        <w:top w:val="none" w:sz="0" w:space="0" w:color="auto"/>
        <w:left w:val="none" w:sz="0" w:space="0" w:color="auto"/>
        <w:bottom w:val="none" w:sz="0" w:space="0" w:color="auto"/>
        <w:right w:val="none" w:sz="0" w:space="0" w:color="auto"/>
      </w:divBdr>
    </w:div>
    <w:div w:id="1894385951">
      <w:bodyDiv w:val="1"/>
      <w:marLeft w:val="0"/>
      <w:marRight w:val="0"/>
      <w:marTop w:val="0"/>
      <w:marBottom w:val="0"/>
      <w:divBdr>
        <w:top w:val="none" w:sz="0" w:space="0" w:color="auto"/>
        <w:left w:val="none" w:sz="0" w:space="0" w:color="auto"/>
        <w:bottom w:val="none" w:sz="0" w:space="0" w:color="auto"/>
        <w:right w:val="none" w:sz="0" w:space="0" w:color="auto"/>
      </w:divBdr>
      <w:divsChild>
        <w:div w:id="1934387729">
          <w:marLeft w:val="0"/>
          <w:marRight w:val="0"/>
          <w:marTop w:val="0"/>
          <w:marBottom w:val="0"/>
          <w:divBdr>
            <w:top w:val="none" w:sz="0" w:space="0" w:color="auto"/>
            <w:left w:val="none" w:sz="0" w:space="0" w:color="auto"/>
            <w:bottom w:val="none" w:sz="0" w:space="0" w:color="auto"/>
            <w:right w:val="none" w:sz="0" w:space="0" w:color="auto"/>
          </w:divBdr>
        </w:div>
        <w:div w:id="853374876">
          <w:marLeft w:val="0"/>
          <w:marRight w:val="0"/>
          <w:marTop w:val="0"/>
          <w:marBottom w:val="0"/>
          <w:divBdr>
            <w:top w:val="none" w:sz="0" w:space="0" w:color="auto"/>
            <w:left w:val="none" w:sz="0" w:space="0" w:color="auto"/>
            <w:bottom w:val="none" w:sz="0" w:space="0" w:color="auto"/>
            <w:right w:val="none" w:sz="0" w:space="0" w:color="auto"/>
          </w:divBdr>
        </w:div>
        <w:div w:id="1027675630">
          <w:marLeft w:val="0"/>
          <w:marRight w:val="0"/>
          <w:marTop w:val="0"/>
          <w:marBottom w:val="0"/>
          <w:divBdr>
            <w:top w:val="none" w:sz="0" w:space="0" w:color="auto"/>
            <w:left w:val="none" w:sz="0" w:space="0" w:color="auto"/>
            <w:bottom w:val="none" w:sz="0" w:space="0" w:color="auto"/>
            <w:right w:val="none" w:sz="0" w:space="0" w:color="auto"/>
          </w:divBdr>
        </w:div>
        <w:div w:id="1775906388">
          <w:marLeft w:val="0"/>
          <w:marRight w:val="0"/>
          <w:marTop w:val="0"/>
          <w:marBottom w:val="0"/>
          <w:divBdr>
            <w:top w:val="none" w:sz="0" w:space="0" w:color="auto"/>
            <w:left w:val="none" w:sz="0" w:space="0" w:color="auto"/>
            <w:bottom w:val="none" w:sz="0" w:space="0" w:color="auto"/>
            <w:right w:val="none" w:sz="0" w:space="0" w:color="auto"/>
          </w:divBdr>
        </w:div>
      </w:divsChild>
    </w:div>
    <w:div w:id="1964993582">
      <w:bodyDiv w:val="1"/>
      <w:marLeft w:val="0"/>
      <w:marRight w:val="0"/>
      <w:marTop w:val="0"/>
      <w:marBottom w:val="0"/>
      <w:divBdr>
        <w:top w:val="none" w:sz="0" w:space="0" w:color="auto"/>
        <w:left w:val="none" w:sz="0" w:space="0" w:color="auto"/>
        <w:bottom w:val="none" w:sz="0" w:space="0" w:color="auto"/>
        <w:right w:val="none" w:sz="0" w:space="0" w:color="auto"/>
      </w:divBdr>
    </w:div>
    <w:div w:id="2108890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svg"/><Relationship Id="rId26" Type="http://schemas.openxmlformats.org/officeDocument/2006/relationships/hyperlink" Target="https://phw.nhs.wales/services-and-teams/designed-to-smile/" TargetMode="External"/><Relationship Id="rId39" Type="http://schemas.openxmlformats.org/officeDocument/2006/relationships/hyperlink" Target="https://primarycareone.nhs.wales/topics1/sppc-fund/" TargetMode="External"/><Relationship Id="rId21" Type="http://schemas.openxmlformats.org/officeDocument/2006/relationships/image" Target="media/image7.jpeg"/><Relationship Id="rId34" Type="http://schemas.openxmlformats.org/officeDocument/2006/relationships/hyperlink" Target="https://primarycareone.nhs.wales/files/strategic-programme/sppc-pcmw-acd-mon-eval-plan-v1a-final-140322-pdf/" TargetMode="External"/><Relationship Id="rId42" Type="http://schemas.openxmlformats.org/officeDocument/2006/relationships/image" Target="media/image8.png"/><Relationship Id="rId47" Type="http://schemas.openxmlformats.org/officeDocument/2006/relationships/image" Target="media/image10.png"/><Relationship Id="rId50" Type="http://schemas.openxmlformats.org/officeDocument/2006/relationships/hyperlink" Target="https://primarycareone.nhs.wales/files/strategic-programme/minute-briefing-social-prescribing-in-primary-and-community-care-event-v2-110422-pdf/" TargetMode="External"/><Relationship Id="rId55" Type="http://schemas.openxmlformats.org/officeDocument/2006/relationships/hyperlink" Target="https://phwwhocc.co.uk/resources/cost-of-living-crisis-in-wales-a-public-health-lens/" TargetMode="External"/><Relationship Id="rId63" Type="http://schemas.openxmlformats.org/officeDocument/2006/relationships/hyperlink" Target="https://primarycareone.nhs.wales/files/sppc-2-24-7-model/professional-collaboratives-national-overview-report-nursing-sept-22-finalpdf/" TargetMode="External"/><Relationship Id="rId68" Type="http://schemas.openxmlformats.org/officeDocument/2006/relationships/hyperlink" Target="https://primarycareone.nhs.wales/tools/population-health-information-by-topic/" TargetMode="External"/><Relationship Id="rId76" Type="http://schemas.openxmlformats.org/officeDocument/2006/relationships/hyperlink" Target="https://www.bevancommission.org/projects/greener-primary-care/" TargetMode="External"/><Relationship Id="rId84" Type="http://schemas.openxmlformats.org/officeDocument/2006/relationships/hyperlink" Target="https://primarycareone.nhs.wales/topics1/ex-service-veterans-health/veteran-and-ex-service-personnel-health-guidance-for-general-practices/" TargetMode="External"/><Relationship Id="rId89" Type="http://schemas.openxmlformats.org/officeDocument/2006/relationships/hyperlink" Target="https://primarycareone.nhs.wales/topics1/dental-public-health/general-dental-services-gds-reform-programme-for-wales/" TargetMode="External"/><Relationship Id="rId7" Type="http://schemas.openxmlformats.org/officeDocument/2006/relationships/settings" Target="settings.xml"/><Relationship Id="rId71" Type="http://schemas.openxmlformats.org/officeDocument/2006/relationships/hyperlink" Target="https://primarycareone.nhs.wales/topics1/greener-primary-care/" TargetMode="External"/><Relationship Id="rId92" Type="http://schemas.openxmlformats.org/officeDocument/2006/relationships/hyperlink" Target="https://phw.nhs.wales/services-and-teams/dental-public-health/dental-services-innovation-and-quality/" TargetMode="External"/><Relationship Id="rId2" Type="http://schemas.openxmlformats.org/officeDocument/2006/relationships/customXml" Target="../customXml/item2.xml"/><Relationship Id="rId16" Type="http://schemas.openxmlformats.org/officeDocument/2006/relationships/image" Target="media/image5.svg"/><Relationship Id="rId29" Type="http://schemas.openxmlformats.org/officeDocument/2006/relationships/hyperlink" Target="https://phw.nhs.wales/services-and-teams/primary-care-division/primary-care-obesity-prevention/rescources/primary-care-obesity-prevention-action-plan-2022-2024/" TargetMode="External"/><Relationship Id="rId107" Type="http://schemas.microsoft.com/office/2020/10/relationships/intelligence" Target="intelligence2.xml"/><Relationship Id="rId11" Type="http://schemas.openxmlformats.org/officeDocument/2006/relationships/header" Target="header1.xml"/><Relationship Id="rId24" Type="http://schemas.openxmlformats.org/officeDocument/2006/relationships/hyperlink" Target="https://phw.nhs.wales/services-and-teams/primary-care-division/primary-care-obesity-prevention/" TargetMode="External"/><Relationship Id="rId32" Type="http://schemas.openxmlformats.org/officeDocument/2006/relationships/hyperlink" Target="https://primarycareone.nhs.wales/tools/cluster-planning-support-portal/" TargetMode="External"/><Relationship Id="rId37" Type="http://schemas.openxmlformats.org/officeDocument/2006/relationships/hyperlink" Target="https://primarycareone.nhs.wales/topics1/greener-primary-care/greener-primary-care-wales-2022-yearbook/" TargetMode="External"/><Relationship Id="rId40" Type="http://schemas.openxmlformats.org/officeDocument/2006/relationships/hyperlink" Target="https://phw.nhs.wales/services-and-teams/designed-to-smile/" TargetMode="External"/><Relationship Id="rId45" Type="http://schemas.openxmlformats.org/officeDocument/2006/relationships/hyperlink" Target="https://primarycareone.nhs.wales/tools/community-infrastructure-ci-programme/community-infrastructure-ci-programme/community-infrastructure-ci-programme/national-community-nursing-specification-v1-jan-23pdf/" TargetMode="External"/><Relationship Id="rId53" Type="http://schemas.openxmlformats.org/officeDocument/2006/relationships/image" Target="media/image11.png"/><Relationship Id="rId58" Type="http://schemas.openxmlformats.org/officeDocument/2006/relationships/hyperlink" Target="https://primarycareone.nhs.wales/files/strategic-programme/doc-1bcluster-development-framework-v1-010622pdf/" TargetMode="External"/><Relationship Id="rId66" Type="http://schemas.openxmlformats.org/officeDocument/2006/relationships/hyperlink" Target="https://primarycareone.nhs.wales/tools/accelerated-cluster-development-toolkit/" TargetMode="External"/><Relationship Id="rId74" Type="http://schemas.openxmlformats.org/officeDocument/2006/relationships/hyperlink" Target="https://primarycareone.nhs.wales/topics1/greener-primary-care/" TargetMode="External"/><Relationship Id="rId79" Type="http://schemas.openxmlformats.org/officeDocument/2006/relationships/hyperlink" Target="https://primarycareone.nhs.wales/topics1/pacesetters/pacesetter-programme-2020-2022-end-of-programme-report/" TargetMode="External"/><Relationship Id="rId87" Type="http://schemas.openxmlformats.org/officeDocument/2006/relationships/hyperlink" Target="http://www.designedtosmile.org" TargetMode="External"/><Relationship Id="rId5" Type="http://schemas.openxmlformats.org/officeDocument/2006/relationships/numbering" Target="numbering.xml"/><Relationship Id="rId61" Type="http://schemas.openxmlformats.org/officeDocument/2006/relationships/hyperlink" Target="https://primarycareone.nhs.wales/files/library-of-products/doc-1-cluster-peer-review-transition-year-v1b-090622docx/" TargetMode="External"/><Relationship Id="rId82" Type="http://schemas.openxmlformats.org/officeDocument/2006/relationships/hyperlink" Target="https://primarycareone.nhs.wales/files/strategic-programme/sppc-fund-2022-23-acd-projects-benefits-and-outputs-paper-aug2022-final-v10pdf/" TargetMode="External"/><Relationship Id="rId90" Type="http://schemas.openxmlformats.org/officeDocument/2006/relationships/hyperlink" Target="https://primarycareone.nhs.wales/" TargetMode="External"/><Relationship Id="rId19" Type="http://schemas.openxmlformats.org/officeDocument/2006/relationships/image" Target="media/image5.png"/><Relationship Id="rId14" Type="http://schemas.openxmlformats.org/officeDocument/2006/relationships/image" Target="media/image3.svg"/><Relationship Id="rId22" Type="http://schemas.openxmlformats.org/officeDocument/2006/relationships/hyperlink" Target="https://primarycareone.nhs.wales/topics1/greener-primary-care/" TargetMode="External"/><Relationship Id="rId27" Type="http://schemas.openxmlformats.org/officeDocument/2006/relationships/hyperlink" Target="https://phw.nhs.wales/services-and-teams/dental-public-health/oral-health-intelligence/" TargetMode="External"/><Relationship Id="rId30" Type="http://schemas.openxmlformats.org/officeDocument/2006/relationships/hyperlink" Target="https://phw.nhs.wales/services-and-teams/primary-care-division/all-wales-diabetes-prevention-programme/" TargetMode="External"/><Relationship Id="rId35" Type="http://schemas.openxmlformats.org/officeDocument/2006/relationships/hyperlink" Target="https://primarycareone.nhs.wales/files/strategic-programme/doc-1bcluster-development-framework-v1-010622pdf/" TargetMode="External"/><Relationship Id="rId43" Type="http://schemas.openxmlformats.org/officeDocument/2006/relationships/hyperlink" Target="https://phw.nhs.wales/services-and-teams/primary-care-division/primary-care-obesity-prevention/rescources/primary-care-obesity-prevention-action-plan-2022-2024/" TargetMode="External"/><Relationship Id="rId48" Type="http://schemas.openxmlformats.org/officeDocument/2006/relationships/hyperlink" Target="https://phw.nhs.wales/services-and-teams/primary-care-division/all-wales-diabetes-prevention-programme/" TargetMode="External"/><Relationship Id="rId56" Type="http://schemas.openxmlformats.org/officeDocument/2006/relationships/image" Target="media/image12.png"/><Relationship Id="rId64" Type="http://schemas.openxmlformats.org/officeDocument/2006/relationships/hyperlink" Target="https://primarycareone.nhs.wales/files/sppc-2-24-7-model/professional-collaboratives-national-overview-report-sept-22-finalpdf/" TargetMode="External"/><Relationship Id="rId69" Type="http://schemas.openxmlformats.org/officeDocument/2006/relationships/hyperlink" Target="https://primarycareone.nhs.wales/tools/" TargetMode="External"/><Relationship Id="rId77" Type="http://schemas.openxmlformats.org/officeDocument/2006/relationships/hyperlink" Target="https://www.eventbrite.co.uk/e/bevan-exemplar-programme-cohort-7-showcase-event-tickets-487630414697" TargetMode="External"/><Relationship Id="rId8" Type="http://schemas.openxmlformats.org/officeDocument/2006/relationships/webSettings" Target="webSettings.xml"/><Relationship Id="rId51" Type="http://schemas.openxmlformats.org/officeDocument/2006/relationships/hyperlink" Target="https://primarycareone.nhs.wales/files/strategic-programme/social-prescribing-in-primary-care-engagement-event-report-may-2022pdf/" TargetMode="External"/><Relationship Id="rId72" Type="http://schemas.openxmlformats.org/officeDocument/2006/relationships/hyperlink" Target="https://www.youtube.com/watch?v=igR8_4mKLgA" TargetMode="External"/><Relationship Id="rId80" Type="http://schemas.openxmlformats.org/officeDocument/2006/relationships/hyperlink" Target="https://primarycareone.nhs.wales/topics1/sppc-fund/" TargetMode="External"/><Relationship Id="rId85" Type="http://schemas.openxmlformats.org/officeDocument/2006/relationships/image" Target="media/image16.png"/><Relationship Id="rId93"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hyperlink" Target="https://phw.nhs.wales/services-and-teams/primary-care-division/social-prescribing/" TargetMode="External"/><Relationship Id="rId33" Type="http://schemas.openxmlformats.org/officeDocument/2006/relationships/hyperlink" Target="https://primarycareone.nhs.wales/files/sppc-library-of-products/primary-care-model-for-wales-accelerated-cluster-development-digital-leaflets-pdf1/" TargetMode="External"/><Relationship Id="rId38" Type="http://schemas.openxmlformats.org/officeDocument/2006/relationships/hyperlink" Target="https://primarycareone.nhs.wales/topics1/pacesetters/pacesetter-programme-2020-2022-end-of-programme-report/" TargetMode="External"/><Relationship Id="rId46" Type="http://schemas.openxmlformats.org/officeDocument/2006/relationships/image" Target="media/image9.png"/><Relationship Id="rId59" Type="http://schemas.openxmlformats.org/officeDocument/2006/relationships/hyperlink" Target="https://primarycareone.nhs.wales/files/strategic-programme/doc-1bcluster-development-framework-v1-010622pdf/" TargetMode="External"/><Relationship Id="rId67" Type="http://schemas.openxmlformats.org/officeDocument/2006/relationships/hyperlink" Target="https://primarycareone.nhs.wales/tools/cluster-planning-support-portal/" TargetMode="External"/><Relationship Id="rId20" Type="http://schemas.openxmlformats.org/officeDocument/2006/relationships/image" Target="media/image6.jpg"/><Relationship Id="rId41" Type="http://schemas.openxmlformats.org/officeDocument/2006/relationships/hyperlink" Target="https://phw.nhs.wales/services-and-teams/dental-public-health/dental-services-innovation-and-quality/" TargetMode="External"/><Relationship Id="rId54" Type="http://schemas.openxmlformats.org/officeDocument/2006/relationships/hyperlink" Target="https://primarycareone.nhs.wales/files/strategic-programme/a-national-review-of-primary-care-mental-health-demand-and-activity-oct-2022-final-10-summary-reportpdf/" TargetMode="External"/><Relationship Id="rId62" Type="http://schemas.openxmlformats.org/officeDocument/2006/relationships/image" Target="media/image13.png"/><Relationship Id="rId70" Type="http://schemas.openxmlformats.org/officeDocument/2006/relationships/image" Target="media/image14.png"/><Relationship Id="rId75" Type="http://schemas.openxmlformats.org/officeDocument/2006/relationships/hyperlink" Target="https://primarycareone.nhs.wales/topics1/greener-primary-care/greener-primary-care-wales-2022-yearbook/" TargetMode="External"/><Relationship Id="rId83" Type="http://schemas.openxmlformats.org/officeDocument/2006/relationships/image" Target="media/image15.png"/><Relationship Id="rId88" Type="http://schemas.openxmlformats.org/officeDocument/2006/relationships/hyperlink" Target="https://phw.nhs.wales/services-and-teams/dental-public-health/gwen-am-byth/" TargetMode="External"/><Relationship Id="rId91" Type="http://schemas.openxmlformats.org/officeDocument/2006/relationships/hyperlink" Target="https://phw.nhs.wales/services-and-teams/primary-care-division/"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phw.nhs.wales/services-and-teams/primary-care-division/all-wales-diabetes-prevention-programme/" TargetMode="External"/><Relationship Id="rId28" Type="http://schemas.openxmlformats.org/officeDocument/2006/relationships/hyperlink" Target="https://primarycareone.nhs.wales/topics1/dental-public-health/" TargetMode="External"/><Relationship Id="rId36" Type="http://schemas.openxmlformats.org/officeDocument/2006/relationships/hyperlink" Target="https://primarycareone.nhs.wales/files/library-of-products/doc-1-cluster-peer-review-transition-year-v1b-090622docx/" TargetMode="External"/><Relationship Id="rId49" Type="http://schemas.openxmlformats.org/officeDocument/2006/relationships/hyperlink" Target="https://phw.nhs.wales/services-and-teams/primary-care-division/all-wales-diabetes-prevention-programme/all-wales-diabetes-prevention-programme-intervention-protocol1/" TargetMode="External"/><Relationship Id="rId57" Type="http://schemas.openxmlformats.org/officeDocument/2006/relationships/hyperlink" Target="https://primarycareone.nhs.wales/files/strategic-programme/sppc-pcmw-acd-mon-eval-plan-v1a-final-140322-pdf/" TargetMode="External"/><Relationship Id="rId10" Type="http://schemas.openxmlformats.org/officeDocument/2006/relationships/endnotes" Target="endnotes.xml"/><Relationship Id="rId31" Type="http://schemas.openxmlformats.org/officeDocument/2006/relationships/hyperlink" Target="https://phw.nhs.wales/services-and-teams/primary-care-division/social-prescribing/social-prescribing/social-prescribing-interfacespdf/" TargetMode="External"/><Relationship Id="rId44" Type="http://schemas.openxmlformats.org/officeDocument/2006/relationships/hyperlink" Target="https://www.gov.wales/quality-improvement-project-practice-guidance-unhealthy-behaviours" TargetMode="External"/><Relationship Id="rId52" Type="http://schemas.openxmlformats.org/officeDocument/2006/relationships/hyperlink" Target="https://phw.nhs.wales/services-and-teams/primary-care-division/social-prescribing/social-prescribing/social-prescribing-interfacespdf/" TargetMode="External"/><Relationship Id="rId60" Type="http://schemas.openxmlformats.org/officeDocument/2006/relationships/hyperlink" Target="https://primarycareone.nhs.wales/files/strategic-programme/acd-outcomes-pdf/" TargetMode="External"/><Relationship Id="rId65" Type="http://schemas.openxmlformats.org/officeDocument/2006/relationships/hyperlink" Target="https://primarycareone.nhs.wales/topics1/strategic-programme/library-of-products/learning-and-development-opportunities-for-new-and-existing-cluster-lead-roles-final-3-0-pdf/" TargetMode="External"/><Relationship Id="rId73" Type="http://schemas.openxmlformats.org/officeDocument/2006/relationships/hyperlink" Target="https://www.gov.wales/written-statement-greener-primary-care-wales-framework-and-award-scheme-2023" TargetMode="External"/><Relationship Id="rId78" Type="http://schemas.openxmlformats.org/officeDocument/2006/relationships/hyperlink" Target="https://gov.wales/sites/default/files/publications/2021-03/nhs-wales-decarbonisation-strategic-delivery-plan.pdf" TargetMode="External"/><Relationship Id="rId81" Type="http://schemas.openxmlformats.org/officeDocument/2006/relationships/hyperlink" Target="https://primarycareone.nhs.wales/topics1/sppc-fund/sppc-fund/sppc-fund-2022-23-op-projects-benefits-and-outcomes-paperdocx/" TargetMode="External"/><Relationship Id="rId86" Type="http://schemas.openxmlformats.org/officeDocument/2006/relationships/image" Target="media/image17.png"/><Relationship Id="rId9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122550\AppData\Local\Microsoft\Windows\INetCache\Content.Outlook\MS9ZL5MS\PHW_PrimaryCare_template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94F2D43E5F42443B17376DA06532946" ma:contentTypeVersion="4" ma:contentTypeDescription="Create a new document." ma:contentTypeScope="" ma:versionID="b2a0cadd6f2a6d4d44024c276226bb3b">
  <xsd:schema xmlns:xsd="http://www.w3.org/2001/XMLSchema" xmlns:xs="http://www.w3.org/2001/XMLSchema" xmlns:p="http://schemas.microsoft.com/office/2006/metadata/properties" xmlns:ns2="d731a902-7e59-4981-a5b8-2401232980d3" xmlns:ns3="52e17715-d48e-4200-8e73-7458c8e47791" targetNamespace="http://schemas.microsoft.com/office/2006/metadata/properties" ma:root="true" ma:fieldsID="f5c638356673bd1159bb7b7a8adaf5c6" ns2:_="" ns3:_="">
    <xsd:import namespace="d731a902-7e59-4981-a5b8-2401232980d3"/>
    <xsd:import namespace="52e17715-d48e-4200-8e73-7458c8e4779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31a902-7e59-4981-a5b8-2401232980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2e17715-d48e-4200-8e73-7458c8e4779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8DAB8B-DE07-4842-AF8E-C6EAE5F9E4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31a902-7e59-4981-a5b8-2401232980d3"/>
    <ds:schemaRef ds:uri="52e17715-d48e-4200-8e73-7458c8e477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AB23DC5-E0F2-4210-BC70-0C947496F91F}">
  <ds:schemaRefs>
    <ds:schemaRef ds:uri="http://schemas.microsoft.com/sharepoint/v3/contenttype/forms"/>
  </ds:schemaRefs>
</ds:datastoreItem>
</file>

<file path=customXml/itemProps3.xml><?xml version="1.0" encoding="utf-8"?>
<ds:datastoreItem xmlns:ds="http://schemas.openxmlformats.org/officeDocument/2006/customXml" ds:itemID="{A048A893-D851-4E3B-AF6A-0FC8FB85069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764C4A4-7DDD-49AC-86C9-5FB8BE9A49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PHW_PrimaryCare_templateD.dotx</Template>
  <TotalTime>71</TotalTime>
  <Pages>1</Pages>
  <Words>4494</Words>
  <Characters>25617</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David.Titley@wales.nhs.uk</dc:creator>
  <cp:keywords/>
  <dc:description/>
  <cp:lastModifiedBy>Zoe Wallace (Public Health Wales - No. 2 Capital Quarter)</cp:lastModifiedBy>
  <cp:revision>17</cp:revision>
  <cp:lastPrinted>2023-05-03T13:30:00Z</cp:lastPrinted>
  <dcterms:created xsi:type="dcterms:W3CDTF">2023-04-24T09:53:00Z</dcterms:created>
  <dcterms:modified xsi:type="dcterms:W3CDTF">2023-05-03T13:32:00Z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0x010100D94F2D43E5F42443B17376DA06532946</vt:lpwstr>
  </property>
</Properties>
</file>